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ascii="仿宋_GB2312" w:hAnsi="宋体" w:eastAsia="仿宋_GB2312"/>
          <w:bCs/>
          <w:color w:val="000000"/>
          <w:kern w:val="0"/>
          <w:sz w:val="32"/>
          <w:szCs w:val="32"/>
        </w:rPr>
      </w:pPr>
      <w:r>
        <w:rPr>
          <w:rFonts w:hint="eastAsia" w:ascii="仿宋" w:hAnsi="仿宋" w:eastAsia="仿宋" w:cs="Arial"/>
          <w:kern w:val="0"/>
          <w:sz w:val="32"/>
          <w:szCs w:val="32"/>
        </w:rPr>
        <w:t>附件2：</w:t>
      </w:r>
    </w:p>
    <w:p>
      <w:pPr>
        <w:jc w:val="center"/>
        <w:rPr>
          <w:rFonts w:ascii="宋体" w:hAnsi="宋体"/>
          <w:b/>
          <w:bCs/>
          <w:sz w:val="32"/>
          <w:szCs w:val="32"/>
        </w:rPr>
      </w:pPr>
    </w:p>
    <w:p>
      <w:pPr>
        <w:jc w:val="center"/>
      </w:pPr>
    </w:p>
    <w:p>
      <w:pPr>
        <w:jc w:val="center"/>
      </w:pPr>
      <w:r>
        <w:drawing>
          <wp:inline distT="0" distB="0" distL="0" distR="0">
            <wp:extent cx="1483995" cy="1428750"/>
            <wp:effectExtent l="1905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srcRect/>
                    <a:stretch>
                      <a:fillRect/>
                    </a:stretch>
                  </pic:blipFill>
                  <pic:spPr>
                    <a:xfrm>
                      <a:off x="0" y="0"/>
                      <a:ext cx="1483995" cy="1428750"/>
                    </a:xfrm>
                    <a:prstGeom prst="rect">
                      <a:avLst/>
                    </a:prstGeom>
                    <a:noFill/>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第九届“全国杰出青年法学家”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3"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hint="eastAsia" w:ascii="楷体_GB2312" w:eastAsia="楷体_GB2312"/>
          <w:b/>
          <w:bCs/>
          <w:sz w:val="32"/>
          <w:szCs w:val="32"/>
          <w:u w:val="single"/>
        </w:rPr>
        <w:t xml:space="preserve"> 倪 斐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w:t>
      </w:r>
      <w:r>
        <w:rPr>
          <w:rFonts w:hint="eastAsia" w:ascii="楷体_GB2312" w:eastAsia="楷体_GB2312"/>
          <w:b/>
          <w:bCs/>
          <w:sz w:val="32"/>
          <w:szCs w:val="32"/>
          <w:u w:val="single"/>
        </w:rPr>
        <w:t xml:space="preserve">    </w:t>
      </w:r>
      <w:r>
        <w:rPr>
          <w:rFonts w:ascii="楷体_GB2312" w:eastAsia="楷体_GB2312"/>
          <w:b/>
          <w:bCs/>
          <w:sz w:val="32"/>
          <w:szCs w:val="32"/>
          <w:u w:val="single"/>
        </w:rPr>
        <w:t xml:space="preserve"> </w:t>
      </w:r>
      <w:r>
        <w:rPr>
          <w:rFonts w:hint="eastAsia" w:ascii="楷体_GB2312" w:eastAsia="楷体_GB2312"/>
          <w:b/>
          <w:bCs/>
          <w:sz w:val="32"/>
          <w:szCs w:val="32"/>
          <w:u w:val="single"/>
        </w:rPr>
        <w:t>南京师范大学法学院</w:t>
      </w:r>
      <w:r>
        <w:rPr>
          <w:rFonts w:eastAsia="仿宋_GB2312"/>
          <w:b/>
          <w:bCs/>
          <w:sz w:val="32"/>
          <w:szCs w:val="32"/>
          <w:u w:val="single"/>
        </w:rPr>
        <w:t xml:space="preserve">   </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ascii="楷体_GB2312" w:eastAsia="楷体_GB2312"/>
          <w:b/>
          <w:bCs/>
          <w:sz w:val="32"/>
          <w:szCs w:val="32"/>
          <w:u w:val="single"/>
        </w:rPr>
        <w:t xml:space="preserve">  </w:t>
      </w:r>
      <w:r>
        <w:rPr>
          <w:rFonts w:ascii="楷体_GB2312" w:eastAsia="楷体_GB2312"/>
          <w:b/>
          <w:bCs/>
          <w:sz w:val="32"/>
          <w:szCs w:val="32"/>
          <w:u w:val="single"/>
        </w:rPr>
        <w:t xml:space="preserve">   </w:t>
      </w:r>
      <w:r>
        <w:rPr>
          <w:rFonts w:hint="eastAsia" w:ascii="楷体_GB2312" w:eastAsia="楷体_GB2312"/>
          <w:b/>
          <w:bCs/>
          <w:sz w:val="32"/>
          <w:szCs w:val="32"/>
          <w:u w:val="single"/>
          <w:lang w:val="en-US" w:eastAsia="zh-CN"/>
        </w:rPr>
        <w:t xml:space="preserve"> </w:t>
      </w:r>
      <w:r>
        <w:rPr>
          <w:rFonts w:hint="eastAsia" w:ascii="楷体_GB2312" w:eastAsia="楷体_GB2312"/>
          <w:b/>
          <w:bCs/>
          <w:sz w:val="32"/>
          <w:szCs w:val="32"/>
          <w:u w:val="single"/>
        </w:rPr>
        <w:t xml:space="preserve">江苏省法学会 </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eastAsia"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jc w:val="center"/>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2019年5月印制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一、表一为推荐单位或指导推荐人填写，表二为推荐候选人工作单位党委（党组）填写并盖章，表三为推荐候选人工作单位纪检监察部门填写并盖章，表四为推荐单位填写并盖章。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四、请各推荐单位于2019年6月30日之前，将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人：王小红  周  杨  010-66182129  66135703</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北京市海淀区皂君庙四号院中国法学会研究部1315室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w:t>
      </w:r>
      <w:r>
        <w:rPr>
          <w:rFonts w:ascii="仿宋" w:hAnsi="仿宋" w:eastAsia="仿宋"/>
          <w:color w:val="000000"/>
          <w:sz w:val="28"/>
          <w:szCs w:val="28"/>
        </w:rPr>
        <w:t>qnfxj201</w:t>
      </w:r>
      <w:r>
        <w:rPr>
          <w:rFonts w:hint="eastAsia" w:ascii="仿宋" w:hAnsi="仿宋" w:eastAsia="仿宋"/>
          <w:color w:val="000000"/>
          <w:sz w:val="28"/>
          <w:szCs w:val="28"/>
        </w:rPr>
        <w:t>9</w:t>
      </w:r>
      <w:r>
        <w:rPr>
          <w:rFonts w:ascii="仿宋" w:hAnsi="仿宋" w:eastAsia="仿宋"/>
          <w:color w:val="000000"/>
          <w:sz w:val="28"/>
          <w:szCs w:val="28"/>
        </w:rPr>
        <w:t>@1</w:t>
      </w:r>
      <w:r>
        <w:rPr>
          <w:rFonts w:hint="eastAsia" w:ascii="仿宋" w:hAnsi="仿宋" w:eastAsia="仿宋"/>
          <w:color w:val="000000"/>
          <w:sz w:val="28"/>
          <w:szCs w:val="28"/>
        </w:rPr>
        <w:t>63</w:t>
      </w:r>
      <w:r>
        <w:rPr>
          <w:rFonts w:ascii="仿宋" w:hAnsi="仿宋" w:eastAsia="仿宋"/>
          <w:color w:val="000000"/>
          <w:sz w:val="28"/>
          <w:szCs w:val="28"/>
        </w:rPr>
        <w:t>.com</w:t>
      </w:r>
    </w:p>
    <w:p>
      <w:pPr>
        <w:rPr>
          <w:rFonts w:ascii="宋体" w:hAnsi="宋体"/>
          <w:b/>
          <w:bCs/>
          <w:color w:val="000000"/>
          <w:sz w:val="24"/>
        </w:rPr>
      </w:pPr>
      <w:r>
        <w:rPr>
          <w:rFonts w:eastAsia="仿宋_GB2312"/>
          <w:b/>
          <w:bCs/>
          <w:sz w:val="28"/>
          <w:szCs w:val="28"/>
        </w:rPr>
        <w:br w:type="page"/>
      </w:r>
    </w:p>
    <w:tbl>
      <w:tblPr>
        <w:tblStyle w:val="8"/>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倪 斐</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男</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drawing>
                <wp:inline distT="0" distB="0" distL="114300" distR="114300">
                  <wp:extent cx="1122045" cy="1603375"/>
                  <wp:effectExtent l="0" t="0" r="571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22045" cy="1603375"/>
                          </a:xfrm>
                          <a:prstGeom prst="rect">
                            <a:avLst/>
                          </a:prstGeom>
                          <a:noFill/>
                          <a:ln>
                            <a:noFill/>
                          </a:ln>
                        </pic:spPr>
                      </pic:pic>
                    </a:graphicData>
                  </a:graphic>
                </wp:inline>
              </w:drawing>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1982.12.22</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汉</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博 士</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center"/>
              <w:rPr>
                <w:rFonts w:ascii="楷体_GB2312" w:hAnsi="宋体" w:eastAsia="楷体_GB2312"/>
                <w:color w:val="000000"/>
                <w:sz w:val="24"/>
              </w:rPr>
            </w:pPr>
            <w:r>
              <w:rPr>
                <w:rFonts w:hint="eastAsia" w:ascii="楷体_GB2312" w:hAnsi="宋体" w:eastAsia="楷体_GB2312"/>
                <w:color w:val="000000"/>
                <w:sz w:val="24"/>
              </w:rPr>
              <w:t>教 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rPr>
            </w:pP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ind w:firstLine="480" w:firstLineChars="200"/>
              <w:jc w:val="left"/>
              <w:rPr>
                <w:rFonts w:ascii="楷体_GB2312" w:hAnsi="宋体" w:eastAsia="楷体_GB2312"/>
                <w:color w:val="000000"/>
                <w:sz w:val="24"/>
              </w:rPr>
            </w:pPr>
            <w:r>
              <w:rPr>
                <w:rFonts w:hint="eastAsia" w:ascii="楷体_GB2312" w:hAnsi="宋体" w:eastAsia="楷体_GB2312"/>
                <w:color w:val="000000"/>
                <w:sz w:val="24"/>
              </w:rPr>
              <w:t>南京师范大学</w:t>
            </w:r>
          </w:p>
        </w:tc>
        <w:tc>
          <w:tcPr>
            <w:tcW w:w="1984" w:type="dxa"/>
            <w:vMerge w:val="continue"/>
            <w:tcBorders>
              <w:left w:val="single" w:color="000000" w:sz="4" w:space="0"/>
            </w:tcBorders>
            <w:vAlign w:val="center"/>
          </w:tcPr>
          <w:p>
            <w:pPr>
              <w:snapToGrid w:val="0"/>
              <w:jc w:val="left"/>
              <w:rPr>
                <w:rFonts w:ascii="楷体_GB2312" w:hAnsi="宋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ind w:firstLine="240" w:firstLineChars="100"/>
              <w:jc w:val="left"/>
              <w:rPr>
                <w:rFonts w:ascii="楷体_GB2312" w:hAnsi="宋体" w:eastAsia="楷体_GB2312"/>
                <w:color w:val="000000"/>
                <w:sz w:val="24"/>
              </w:rPr>
            </w:pPr>
            <w:r>
              <w:rPr>
                <w:rFonts w:hint="eastAsia" w:ascii="楷体_GB2312" w:hAnsi="宋体" w:eastAsia="楷体_GB2312"/>
                <w:color w:val="000000"/>
                <w:sz w:val="24"/>
              </w:rPr>
              <w:t>江苏省南京市文苑路1号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trPr>
        <w:tc>
          <w:tcPr>
            <w:tcW w:w="1620" w:type="dxa"/>
            <w:tcBorders>
              <w:top w:val="single" w:color="000000" w:sz="4" w:space="0"/>
              <w:bottom w:val="single" w:color="auto" w:sz="4" w:space="0"/>
            </w:tcBorders>
            <w:vAlign w:val="center"/>
          </w:tcPr>
          <w:p>
            <w:pPr>
              <w:tabs>
                <w:tab w:val="left" w:pos="4185"/>
              </w:tabs>
              <w:snapToGrid w:val="0"/>
              <w:jc w:val="center"/>
              <w:rPr>
                <w:rFonts w:ascii="宋体" w:hAnsi="宋体"/>
                <w:b/>
                <w:color w:val="000000"/>
                <w:sz w:val="24"/>
              </w:rPr>
            </w:pPr>
            <w:r>
              <w:rPr>
                <w:rFonts w:hint="eastAsia" w:ascii="宋体" w:hAnsi="宋体"/>
                <w:b/>
                <w:color w:val="000000"/>
                <w:sz w:val="24"/>
              </w:rPr>
              <w:t>电话传真</w:t>
            </w:r>
          </w:p>
        </w:tc>
        <w:tc>
          <w:tcPr>
            <w:tcW w:w="3380" w:type="dxa"/>
            <w:gridSpan w:val="2"/>
            <w:tcBorders>
              <w:top w:val="single" w:color="000000" w:sz="4" w:space="0"/>
              <w:bottom w:val="single" w:color="auto" w:sz="4" w:space="0"/>
            </w:tcBorders>
            <w:vAlign w:val="center"/>
          </w:tcPr>
          <w:p>
            <w:pPr>
              <w:tabs>
                <w:tab w:val="left" w:pos="4185"/>
              </w:tabs>
              <w:snapToGrid w:val="0"/>
              <w:ind w:firstLine="240" w:firstLineChars="100"/>
              <w:jc w:val="left"/>
              <w:rPr>
                <w:rFonts w:ascii="楷体_GB2312" w:hAnsi="宋体" w:eastAsia="楷体_GB2312"/>
                <w:color w:val="000000"/>
                <w:sz w:val="24"/>
              </w:rPr>
            </w:pPr>
            <w:r>
              <w:rPr>
                <w:rFonts w:hint="eastAsia" w:ascii="楷体_GB2312" w:hAnsi="宋体" w:eastAsia="楷体_GB2312"/>
                <w:color w:val="000000"/>
                <w:sz w:val="24"/>
              </w:rPr>
              <w:t>025-85891036</w:t>
            </w:r>
          </w:p>
        </w:tc>
        <w:tc>
          <w:tcPr>
            <w:tcW w:w="2016" w:type="dxa"/>
            <w:tcBorders>
              <w:top w:val="single" w:color="000000" w:sz="4" w:space="0"/>
              <w:bottom w:val="single" w:color="auto" w:sz="4" w:space="0"/>
            </w:tcBorders>
            <w:vAlign w:val="center"/>
          </w:tcPr>
          <w:p>
            <w:pPr>
              <w:tabs>
                <w:tab w:val="left" w:pos="4185"/>
              </w:tabs>
              <w:snapToGrid w:val="0"/>
              <w:jc w:val="center"/>
              <w:rPr>
                <w:rFonts w:ascii="宋体" w:hAnsi="宋体"/>
                <w:b/>
                <w:color w:val="000000"/>
                <w:sz w:val="24"/>
              </w:rPr>
            </w:pPr>
            <w:r>
              <w:rPr>
                <w:rFonts w:hint="eastAsia" w:ascii="宋体" w:hAnsi="宋体"/>
                <w:b/>
                <w:color w:val="000000"/>
                <w:sz w:val="24"/>
              </w:rPr>
              <w:t>邮   编</w:t>
            </w:r>
          </w:p>
        </w:tc>
        <w:tc>
          <w:tcPr>
            <w:tcW w:w="1984" w:type="dxa"/>
            <w:tcBorders>
              <w:top w:val="single" w:color="000000" w:sz="4" w:space="0"/>
              <w:bottom w:val="single" w:color="auto" w:sz="4" w:space="0"/>
            </w:tcBorders>
            <w:vAlign w:val="center"/>
          </w:tcPr>
          <w:p>
            <w:pPr>
              <w:tabs>
                <w:tab w:val="left" w:pos="4185"/>
              </w:tabs>
              <w:snapToGrid w:val="0"/>
              <w:ind w:firstLine="120" w:firstLineChars="50"/>
              <w:jc w:val="left"/>
              <w:rPr>
                <w:rFonts w:ascii="楷体_GB2312" w:hAnsi="宋体" w:eastAsia="楷体_GB2312"/>
                <w:color w:val="000000"/>
                <w:sz w:val="24"/>
              </w:rPr>
            </w:pPr>
            <w:r>
              <w:rPr>
                <w:rFonts w:hint="eastAsia" w:ascii="楷体_GB2312" w:hAnsi="宋体" w:eastAsia="楷体_GB2312"/>
                <w:color w:val="000000"/>
                <w:sz w:val="24"/>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620" w:type="dxa"/>
            <w:tcBorders>
              <w:top w:val="single" w:color="auto" w:sz="4" w:space="0"/>
              <w:bottom w:val="single" w:color="000000" w:sz="4" w:space="0"/>
            </w:tcBorders>
            <w:vAlign w:val="center"/>
          </w:tcPr>
          <w:p>
            <w:pPr>
              <w:tabs>
                <w:tab w:val="left" w:pos="4185"/>
              </w:tabs>
              <w:snapToGrid w:val="0"/>
              <w:jc w:val="center"/>
              <w:rPr>
                <w:rFonts w:ascii="宋体" w:hAnsi="宋体"/>
                <w:b/>
                <w:color w:val="000000"/>
                <w:sz w:val="24"/>
              </w:rPr>
            </w:pPr>
            <w:r>
              <w:rPr>
                <w:rFonts w:hint="eastAsia" w:ascii="宋体" w:hAnsi="宋体"/>
                <w:b/>
                <w:color w:val="000000"/>
                <w:sz w:val="24"/>
              </w:rPr>
              <w:t>电子邮箱</w:t>
            </w:r>
          </w:p>
        </w:tc>
        <w:tc>
          <w:tcPr>
            <w:tcW w:w="3380" w:type="dxa"/>
            <w:gridSpan w:val="2"/>
            <w:tcBorders>
              <w:top w:val="single" w:color="auto" w:sz="4" w:space="0"/>
              <w:bottom w:val="single" w:color="000000" w:sz="4" w:space="0"/>
            </w:tcBorders>
            <w:vAlign w:val="center"/>
          </w:tcPr>
          <w:p>
            <w:pPr>
              <w:tabs>
                <w:tab w:val="left" w:pos="4185"/>
              </w:tabs>
              <w:snapToGrid w:val="0"/>
              <w:ind w:firstLine="240" w:firstLineChars="100"/>
              <w:jc w:val="left"/>
              <w:rPr>
                <w:rFonts w:ascii="楷体_GB2312" w:hAnsi="宋体" w:eastAsia="楷体_GB2312"/>
                <w:color w:val="000000"/>
                <w:sz w:val="24"/>
              </w:rPr>
            </w:pPr>
            <w:r>
              <w:rPr>
                <w:rFonts w:hint="eastAsia" w:ascii="楷体_GB2312" w:hAnsi="宋体" w:eastAsia="楷体_GB2312"/>
                <w:color w:val="000000"/>
                <w:sz w:val="24"/>
              </w:rPr>
              <w:t>chinanifei@126.com</w:t>
            </w:r>
          </w:p>
        </w:tc>
        <w:tc>
          <w:tcPr>
            <w:tcW w:w="2016" w:type="dxa"/>
            <w:tcBorders>
              <w:top w:val="single" w:color="auto" w:sz="4" w:space="0"/>
              <w:bottom w:val="single" w:color="000000" w:sz="4" w:space="0"/>
            </w:tcBorders>
            <w:vAlign w:val="center"/>
          </w:tcPr>
          <w:p>
            <w:pPr>
              <w:tabs>
                <w:tab w:val="left" w:pos="4185"/>
              </w:tabs>
              <w:snapToGrid w:val="0"/>
              <w:jc w:val="center"/>
              <w:rPr>
                <w:rFonts w:ascii="宋体" w:hAnsi="宋体"/>
                <w:b/>
                <w:color w:val="000000"/>
                <w:sz w:val="24"/>
              </w:rPr>
            </w:pPr>
            <w:r>
              <w:rPr>
                <w:rFonts w:hint="eastAsia" w:ascii="宋体" w:hAnsi="宋体"/>
                <w:b/>
                <w:color w:val="000000"/>
                <w:sz w:val="24"/>
              </w:rPr>
              <w:t>手   机</w:t>
            </w:r>
          </w:p>
        </w:tc>
        <w:tc>
          <w:tcPr>
            <w:tcW w:w="1984" w:type="dxa"/>
            <w:tcBorders>
              <w:top w:val="single" w:color="auto" w:sz="4" w:space="0"/>
              <w:bottom w:val="single" w:color="000000" w:sz="4" w:space="0"/>
            </w:tcBorders>
            <w:vAlign w:val="center"/>
          </w:tcPr>
          <w:p>
            <w:pPr>
              <w:tabs>
                <w:tab w:val="left" w:pos="4185"/>
              </w:tabs>
              <w:snapToGrid w:val="0"/>
              <w:ind w:firstLine="120" w:firstLineChars="50"/>
              <w:jc w:val="left"/>
              <w:rPr>
                <w:rFonts w:ascii="楷体_GB2312" w:hAnsi="宋体" w:eastAsia="楷体_GB2312"/>
                <w:color w:val="000000"/>
                <w:sz w:val="24"/>
              </w:rPr>
            </w:pPr>
            <w:r>
              <w:rPr>
                <w:rFonts w:hint="eastAsia" w:ascii="楷体_GB2312" w:hAnsi="宋体" w:eastAsia="楷体_GB2312"/>
                <w:color w:val="000000"/>
                <w:sz w:val="24"/>
              </w:rPr>
              <w:t>15261420909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7"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ascii="宋体" w:hAnsi="宋体"/>
                <w:b/>
                <w:color w:val="000000"/>
                <w:sz w:val="30"/>
                <w:szCs w:val="30"/>
              </w:rPr>
            </w:pPr>
          </w:p>
          <w:p>
            <w:pPr>
              <w:tabs>
                <w:tab w:val="left" w:pos="4185"/>
              </w:tabs>
              <w:snapToGrid w:val="0"/>
              <w:jc w:val="center"/>
              <w:rPr>
                <w:rFonts w:ascii="宋体" w:hAnsi="宋体"/>
                <w:b/>
                <w:color w:val="000000"/>
                <w:sz w:val="24"/>
              </w:rPr>
            </w:pPr>
            <w:r>
              <w:rPr>
                <w:rFonts w:hint="eastAsia" w:ascii="宋体" w:hAnsi="宋体"/>
                <w:b/>
                <w:color w:val="000000"/>
                <w:sz w:val="30"/>
                <w:szCs w:val="30"/>
              </w:rPr>
              <w:t>个人简历</w:t>
            </w:r>
          </w:p>
          <w:p>
            <w:pPr>
              <w:tabs>
                <w:tab w:val="left" w:pos="4185"/>
              </w:tabs>
              <w:snapToGrid w:val="0"/>
              <w:jc w:val="left"/>
              <w:rPr>
                <w:rFonts w:ascii="宋体" w:hAnsi="宋体"/>
                <w:b/>
                <w:color w:val="000000"/>
                <w:sz w:val="24"/>
              </w:rPr>
            </w:pPr>
          </w:p>
          <w:p>
            <w:pPr>
              <w:spacing w:line="360" w:lineRule="auto"/>
              <w:ind w:firstLine="480" w:firstLineChars="200"/>
              <w:rPr>
                <w:rFonts w:ascii="楷体_GB2312" w:hAnsi="宋体" w:eastAsia="楷体_GB2312"/>
                <w:sz w:val="24"/>
              </w:rPr>
            </w:pPr>
            <w:r>
              <w:rPr>
                <w:rFonts w:hint="eastAsia" w:ascii="楷体_GB2312" w:hAnsi="宋体" w:eastAsia="楷体_GB2312"/>
                <w:sz w:val="24"/>
              </w:rPr>
              <w:t>倪斐，男，37岁，中共党员，2009年6月毕业于中国社会科学院，获法学理论专业博士学位，2009年9月至今任南京师范大学法学院讲师、副教授、教授，2015年7月至2016年7月美国圣路易斯华盛顿大学法学院访问学者，兼任中国法治现代化研究院区域法治发展研究所副所长、江苏高校区域法治发展协同创新中心研究员、江苏省法学会经济法学研究会秘书长等职。</w:t>
            </w:r>
          </w:p>
          <w:p>
            <w:pPr>
              <w:spacing w:line="360" w:lineRule="auto"/>
              <w:ind w:firstLine="480" w:firstLineChars="200"/>
              <w:rPr>
                <w:rFonts w:ascii="楷体_GB2312" w:hAnsi="宋体" w:eastAsia="楷体_GB2312"/>
                <w:sz w:val="24"/>
              </w:rPr>
            </w:pPr>
            <w:r>
              <w:rPr>
                <w:rFonts w:hint="eastAsia" w:ascii="楷体_GB2312" w:hAnsi="Calibri" w:eastAsia="楷体_GB2312"/>
                <w:sz w:val="24"/>
              </w:rPr>
              <w:t>主要研究领域为地方法治理论。出版独立专著《公共利益法律化研究》、独立译著《德国劳动法与劳资关</w:t>
            </w:r>
            <w:r>
              <w:rPr>
                <w:rFonts w:hint="eastAsia" w:ascii="楷体_GB2312" w:hAnsi="宋体" w:eastAsia="楷体_GB2312"/>
                <w:sz w:val="24"/>
              </w:rPr>
              <w:t>系》，执行主编年度《江苏法治发展报告》（江</w:t>
            </w:r>
            <w:r>
              <w:rPr>
                <w:rFonts w:hint="eastAsia" w:ascii="楷体_GB2312" w:hAnsi="Calibri" w:eastAsia="楷体_GB2312"/>
                <w:sz w:val="24"/>
              </w:rPr>
              <w:t>苏法治蓝皮书系列）。在《法学研究》《法学家》《</w:t>
            </w:r>
            <w:r>
              <w:rPr>
                <w:rFonts w:eastAsia="楷体_GB2312"/>
                <w:sz w:val="24"/>
              </w:rPr>
              <w:t>Власть</w:t>
            </w:r>
            <w:r>
              <w:rPr>
                <w:rFonts w:hint="eastAsia" w:ascii="楷体_GB2312" w:hAnsi="Calibri" w:eastAsia="楷体_GB2312"/>
                <w:sz w:val="24"/>
              </w:rPr>
              <w:t>》《法商研究》《法律科学》《政治与法律》等国内外学术期刊发表《地方先行法治化的基本路径及其法理限度》《地方法治概念证成——基于治权自主的法理阐释》等论文数十篇，主持国家社会科学基金一</w:t>
            </w:r>
            <w:r>
              <w:rPr>
                <w:rFonts w:hint="eastAsia" w:ascii="楷体_GB2312" w:hAnsi="宋体" w:eastAsia="楷体_GB2312"/>
                <w:sz w:val="24"/>
              </w:rPr>
              <w:t>般项目“地方法治化差异格局与法治中国实现路径”等课题多项。</w:t>
            </w:r>
          </w:p>
          <w:p>
            <w:pPr>
              <w:spacing w:line="360" w:lineRule="auto"/>
              <w:ind w:firstLine="480" w:firstLineChars="200"/>
              <w:rPr>
                <w:rFonts w:ascii="楷体_GB2312" w:hAnsi="宋体" w:eastAsia="楷体_GB2312"/>
                <w:sz w:val="24"/>
              </w:rPr>
            </w:pPr>
            <w:r>
              <w:rPr>
                <w:rFonts w:hint="eastAsia" w:ascii="楷体_GB2312" w:hAnsi="宋体" w:eastAsia="楷体_GB2312"/>
                <w:sz w:val="24"/>
              </w:rPr>
              <w:t>曾获江苏省人民政府第十三届哲学社会科学优秀成果奖一等奖、中国法学会第二届“董必武青年法学成果奖”二等奖等奖项，入选江苏省高校“青蓝工程”培养</w:t>
            </w:r>
            <w:r>
              <w:rPr>
                <w:rFonts w:ascii="楷体_GB2312" w:hAnsi="宋体" w:eastAsia="楷体_GB2312"/>
                <w:sz w:val="24"/>
              </w:rPr>
              <w:t>对象</w:t>
            </w:r>
            <w:r>
              <w:rPr>
                <w:rFonts w:hint="eastAsia" w:ascii="楷体_GB2312" w:hAnsi="宋体" w:eastAsia="楷体_GB2312"/>
                <w:sz w:val="24"/>
              </w:rPr>
              <w:t>、南京师范大学“中青年领军人才”等多项人才计划。</w:t>
            </w:r>
          </w:p>
          <w:p>
            <w:pPr>
              <w:spacing w:line="360" w:lineRule="auto"/>
              <w:ind w:firstLine="482" w:firstLineChars="200"/>
              <w:rPr>
                <w:rFonts w:ascii="宋体" w:hAnsi="宋体"/>
                <w:b/>
                <w:color w:val="000000"/>
                <w:sz w:val="24"/>
              </w:rPr>
            </w:pPr>
          </w:p>
          <w:p>
            <w:pPr>
              <w:tabs>
                <w:tab w:val="left" w:pos="4185"/>
              </w:tabs>
              <w:snapToGrid w:val="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5"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ascii="宋体" w:hAnsi="宋体"/>
                <w:b/>
                <w:color w:val="000000"/>
                <w:sz w:val="30"/>
                <w:szCs w:val="30"/>
              </w:rPr>
            </w:pPr>
          </w:p>
          <w:p>
            <w:pPr>
              <w:tabs>
                <w:tab w:val="left" w:pos="4185"/>
              </w:tabs>
              <w:snapToGrid w:val="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snapToGrid w:val="0"/>
              <w:jc w:val="left"/>
              <w:rPr>
                <w:rFonts w:ascii="楷体_GB2312" w:hAnsi="楷体" w:eastAsia="楷体_GB2312"/>
                <w:b/>
                <w:color w:val="000000"/>
                <w:sz w:val="24"/>
              </w:rPr>
            </w:pPr>
          </w:p>
          <w:p>
            <w:pPr>
              <w:tabs>
                <w:tab w:val="left" w:pos="4185"/>
              </w:tabs>
              <w:snapToGrid w:val="0"/>
              <w:spacing w:line="360" w:lineRule="auto"/>
              <w:rPr>
                <w:rFonts w:ascii="黑体" w:hAnsi="黑体" w:eastAsia="黑体"/>
                <w:b/>
                <w:color w:val="000000"/>
                <w:sz w:val="24"/>
              </w:rPr>
            </w:pPr>
            <w:r>
              <w:rPr>
                <w:rFonts w:hint="eastAsia" w:ascii="宋体" w:hAnsi="宋体"/>
                <w:b/>
                <w:color w:val="000000"/>
                <w:sz w:val="28"/>
                <w:szCs w:val="28"/>
              </w:rPr>
              <w:t>（一）代表性</w:t>
            </w:r>
            <w:r>
              <w:rPr>
                <w:rFonts w:ascii="宋体" w:hAnsi="宋体"/>
                <w:b/>
                <w:color w:val="000000"/>
                <w:sz w:val="28"/>
                <w:szCs w:val="28"/>
              </w:rPr>
              <w:t>核心</w:t>
            </w:r>
            <w:r>
              <w:rPr>
                <w:rFonts w:hint="eastAsia" w:ascii="宋体" w:hAnsi="宋体"/>
                <w:b/>
                <w:color w:val="000000"/>
                <w:sz w:val="28"/>
                <w:szCs w:val="28"/>
              </w:rPr>
              <w:t>论文</w:t>
            </w:r>
            <w:r>
              <w:rPr>
                <w:rFonts w:hint="eastAsia" w:ascii="楷体_GB2312" w:hAnsi="黑体" w:eastAsia="楷体_GB2312"/>
                <w:color w:val="000000"/>
                <w:sz w:val="24"/>
              </w:rPr>
              <w:t>（除专门标明外均为独立作者）</w:t>
            </w:r>
          </w:p>
          <w:p>
            <w:pPr>
              <w:spacing w:line="360" w:lineRule="auto"/>
              <w:ind w:firstLine="120" w:firstLineChars="50"/>
              <w:rPr>
                <w:rFonts w:ascii="楷体_GB2312" w:hAnsi="宋体" w:eastAsia="楷体_GB2312"/>
                <w:b/>
                <w:sz w:val="24"/>
              </w:rPr>
            </w:pPr>
            <w:r>
              <w:rPr>
                <w:rFonts w:hint="eastAsia" w:ascii="楷体_GB2312" w:hAnsi="宋体" w:eastAsia="楷体_GB2312"/>
                <w:b/>
                <w:sz w:val="24"/>
              </w:rPr>
              <w:t>1.《地方先行法治化的基本路径及其法理限度》，《法学研究》2013年第5期；（1.8万字，被引36次）</w:t>
            </w:r>
          </w:p>
          <w:p>
            <w:pPr>
              <w:spacing w:line="360" w:lineRule="auto"/>
              <w:ind w:firstLine="120" w:firstLineChars="50"/>
              <w:rPr>
                <w:rFonts w:ascii="楷体_GB2312" w:hAnsi="宋体" w:eastAsia="楷体_GB2312"/>
                <w:b/>
                <w:sz w:val="24"/>
              </w:rPr>
            </w:pPr>
            <w:r>
              <w:rPr>
                <w:rFonts w:hint="eastAsia" w:ascii="楷体_GB2312" w:hAnsi="宋体" w:eastAsia="楷体_GB2312"/>
                <w:b/>
                <w:sz w:val="24"/>
              </w:rPr>
              <w:t>2.《地方法治概念证成——基于治权自主的法理阐释》，《法学家》2017年第4期；（2.3万字，被引10次）</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3.</w:t>
            </w:r>
            <w:r>
              <w:rPr>
                <w:rFonts w:hint="eastAsia" w:ascii="楷体_GB2312" w:eastAsia="楷体_GB2312"/>
                <w:sz w:val="24"/>
              </w:rPr>
              <w:t>On the Justification of Local Rule of Law:Based on the Jurisprudential Interpretation of Governing Autonomy,Renmin Chinese Law Review:Selected Papers of the Jurist,Volume 7,2019.（1</w:t>
            </w:r>
            <w:r>
              <w:rPr>
                <w:rFonts w:ascii="楷体_GB2312" w:eastAsia="楷体_GB2312"/>
                <w:sz w:val="24"/>
              </w:rPr>
              <w:t>.9万字）</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4.《公共利益法律化——基于思想流变的中西方考察》，《江海学刊》2017年第2期；（1万字）</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5.</w:t>
            </w:r>
            <w:r>
              <w:rPr>
                <w:rFonts w:eastAsia="楷体_GB2312"/>
                <w:sz w:val="24"/>
              </w:rPr>
              <w:t>《Ориентация и инновации: Теория верховенства закона при социализме с китайской спецификой с точки зрения международного права》</w:t>
            </w:r>
            <w:r>
              <w:rPr>
                <w:rFonts w:hint="eastAsia" w:ascii="楷体_GB2312" w:hAnsi="宋体" w:eastAsia="楷体_GB2312"/>
                <w:sz w:val="24"/>
              </w:rPr>
              <w:t>（《定位与创新：世界法治视角下中国特色社会主义法治理论》），《</w:t>
            </w:r>
            <w:r>
              <w:rPr>
                <w:rFonts w:eastAsia="楷体_GB2312"/>
                <w:sz w:val="24"/>
              </w:rPr>
              <w:t>Власть</w:t>
            </w:r>
            <w:r>
              <w:rPr>
                <w:rFonts w:hint="eastAsia" w:ascii="楷体_GB2312" w:hAnsi="宋体" w:eastAsia="楷体_GB2312"/>
                <w:sz w:val="24"/>
              </w:rPr>
              <w:t>》（《政权》）2016年第10期；（俄罗斯政治学权威期刊）</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6.《</w:t>
            </w:r>
            <w:r>
              <w:fldChar w:fldCharType="begin"/>
            </w:r>
            <w:r>
              <w:instrText xml:space="preserve"> HYPERLINK "http://kns.cnki.net/kns/detail/detail.aspx?QueryID=4&amp;CurRec=1&amp;recid=&amp;FileName=HRBG201806002&amp;DbName=CJFDLAST2018&amp;DbCode=CJFQ&amp;yx=A&amp;pr=&amp;URLID=23.1448.c.20181126.1044.004&amp;bsm=QS0103;" \t "_blank" </w:instrText>
            </w:r>
            <w:r>
              <w:fldChar w:fldCharType="separate"/>
            </w:r>
            <w:r>
              <w:rPr>
                <w:rFonts w:hint="eastAsia" w:ascii="楷体_GB2312" w:hAnsi="宋体" w:eastAsia="楷体_GB2312"/>
                <w:sz w:val="24"/>
              </w:rPr>
              <w:t>国家级新区先行先试权及其法治化改进</w:t>
            </w:r>
            <w:r>
              <w:rPr>
                <w:rFonts w:hint="eastAsia" w:ascii="楷体_GB2312" w:hAnsi="宋体" w:eastAsia="楷体_GB2312"/>
                <w:sz w:val="24"/>
              </w:rPr>
              <w:fldChar w:fldCharType="end"/>
            </w:r>
            <w:r>
              <w:rPr>
                <w:rFonts w:hint="eastAsia" w:ascii="楷体_GB2312" w:hAnsi="宋体" w:eastAsia="楷体_GB2312"/>
                <w:sz w:val="24"/>
              </w:rPr>
              <w:t>》，《哈尔滨工业大学学报（社会科学版）》2018年第6期；（第一作者，1万字）</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7.《家庭功能重塑视域下我国社会救助立法的完善》，《中州学刊》2018年第3期；（第二作者，1万字）</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8.《“红罐案”中知名商品特有包装装潢权益的归属认定》，《法律适用》2017年第12期；（1.5万字，被引1次）</w:t>
            </w:r>
          </w:p>
          <w:p>
            <w:pPr>
              <w:spacing w:line="360" w:lineRule="auto"/>
              <w:ind w:firstLine="240" w:firstLineChars="100"/>
              <w:rPr>
                <w:rFonts w:ascii="楷体_GB2312" w:hAnsi="宋体" w:eastAsia="楷体_GB2312"/>
                <w:sz w:val="24"/>
              </w:rPr>
            </w:pPr>
            <w:r>
              <w:rPr>
                <w:rFonts w:hint="eastAsia" w:ascii="楷体_GB2312" w:hAnsi="宋体" w:eastAsia="楷体_GB2312"/>
                <w:sz w:val="24"/>
              </w:rPr>
              <w:t>9.《论独立监管机构的经济法主体地位——以马克思主义社会权力机构理论为视角》，《南京师范大学学报（社会科学版）》2014年第5期；（0.9万字，被引1次）</w:t>
            </w:r>
          </w:p>
          <w:p>
            <w:pPr>
              <w:spacing w:line="360" w:lineRule="auto"/>
              <w:ind w:firstLine="240" w:firstLineChars="100"/>
              <w:rPr>
                <w:rFonts w:ascii="楷体_GB2312" w:hAnsi="楷体" w:eastAsia="楷体_GB2312"/>
                <w:b/>
                <w:color w:val="000000"/>
                <w:sz w:val="24"/>
              </w:rPr>
            </w:pPr>
            <w:r>
              <w:rPr>
                <w:rFonts w:hint="eastAsia" w:ascii="楷体_GB2312" w:hAnsi="宋体" w:eastAsia="楷体_GB2312"/>
                <w:sz w:val="24"/>
              </w:rPr>
              <w:t>10.《马克思主义国家消亡学说中两大基本命题的逻辑论证——兼对凯尔森观点的批驳》，《社会主义研究》2012年第4期；（0.8万字，被引4次）</w:t>
            </w:r>
          </w:p>
          <w:p>
            <w:pPr>
              <w:tabs>
                <w:tab w:val="left" w:pos="4185"/>
              </w:tabs>
              <w:snapToGrid w:val="0"/>
              <w:jc w:val="center"/>
              <w:rPr>
                <w:rFonts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5" w:hRule="atLeast"/>
        </w:trPr>
        <w:tc>
          <w:tcPr>
            <w:tcW w:w="9000" w:type="dxa"/>
            <w:gridSpan w:val="5"/>
            <w:tcBorders>
              <w:top w:val="single" w:color="auto" w:sz="4" w:space="0"/>
              <w:bottom w:val="single" w:color="000000" w:sz="4" w:space="0"/>
            </w:tcBorders>
            <w:vAlign w:val="center"/>
          </w:tcPr>
          <w:p>
            <w:pPr>
              <w:spacing w:line="360" w:lineRule="auto"/>
              <w:ind w:firstLine="120" w:firstLineChars="50"/>
              <w:rPr>
                <w:rFonts w:ascii="楷体_GB2312" w:hAnsi="宋体" w:eastAsia="楷体_GB2312"/>
                <w:sz w:val="24"/>
              </w:rPr>
            </w:pPr>
            <w:r>
              <w:rPr>
                <w:rFonts w:hint="eastAsia" w:ascii="楷体_GB2312" w:hAnsi="宋体" w:eastAsia="楷体_GB2312"/>
                <w:sz w:val="24"/>
              </w:rPr>
              <w:t>11.《风险社会中的宏观调控及其法律规制》，《江海学刊》2011年第2期；（0.8万字，被引4次）</w:t>
            </w:r>
          </w:p>
          <w:p>
            <w:pPr>
              <w:spacing w:line="360" w:lineRule="auto"/>
              <w:ind w:firstLine="120" w:firstLineChars="50"/>
              <w:rPr>
                <w:rFonts w:ascii="楷体_GB2312" w:hAnsi="宋体" w:eastAsia="楷体_GB2312"/>
                <w:b/>
                <w:sz w:val="24"/>
              </w:rPr>
            </w:pPr>
            <w:r>
              <w:rPr>
                <w:rFonts w:hint="eastAsia" w:ascii="楷体_GB2312" w:hAnsi="宋体" w:eastAsia="楷体_GB2312"/>
                <w:b/>
                <w:sz w:val="24"/>
              </w:rPr>
              <w:t>12.《公共利益的法律类型化研究——规范目的标准的提出与展开》，《法商研究》2010年第3期；（1.0万字，被引</w:t>
            </w:r>
            <w:r>
              <w:rPr>
                <w:rFonts w:ascii="楷体_GB2312" w:hAnsi="宋体" w:eastAsia="楷体_GB2312"/>
                <w:b/>
                <w:sz w:val="24"/>
              </w:rPr>
              <w:t>3</w:t>
            </w:r>
            <w:r>
              <w:rPr>
                <w:rFonts w:hint="eastAsia" w:ascii="楷体_GB2312" w:hAnsi="宋体" w:eastAsia="楷体_GB2312"/>
                <w:b/>
                <w:sz w:val="24"/>
              </w:rPr>
              <w:t>8次）</w:t>
            </w:r>
          </w:p>
          <w:p>
            <w:pPr>
              <w:spacing w:line="360" w:lineRule="auto"/>
              <w:ind w:firstLine="120" w:firstLineChars="50"/>
              <w:rPr>
                <w:rFonts w:ascii="楷体_GB2312" w:hAnsi="宋体" w:eastAsia="楷体_GB2312"/>
                <w:b/>
                <w:sz w:val="24"/>
              </w:rPr>
            </w:pPr>
            <w:r>
              <w:rPr>
                <w:rFonts w:hint="eastAsia" w:ascii="楷体_GB2312" w:hAnsi="宋体" w:eastAsia="楷体_GB2312"/>
                <w:b/>
                <w:sz w:val="24"/>
              </w:rPr>
              <w:t>13.《公共利益法律化：理论、路径与制度完善》，《法律科学》2009年第6期；（2.3万字，被引4</w:t>
            </w:r>
            <w:r>
              <w:rPr>
                <w:rFonts w:ascii="楷体_GB2312" w:hAnsi="宋体" w:eastAsia="楷体_GB2312"/>
                <w:b/>
                <w:sz w:val="24"/>
              </w:rPr>
              <w:t>4</w:t>
            </w:r>
            <w:r>
              <w:rPr>
                <w:rFonts w:hint="eastAsia" w:ascii="楷体_GB2312" w:hAnsi="宋体" w:eastAsia="楷体_GB2312"/>
                <w:b/>
                <w:sz w:val="24"/>
              </w:rPr>
              <w:t>次）</w:t>
            </w:r>
          </w:p>
          <w:p>
            <w:pPr>
              <w:spacing w:line="360" w:lineRule="auto"/>
              <w:ind w:firstLine="120" w:firstLineChars="50"/>
              <w:rPr>
                <w:rFonts w:ascii="楷体_GB2312" w:hAnsi="宋体" w:eastAsia="楷体_GB2312"/>
                <w:b/>
                <w:sz w:val="24"/>
              </w:rPr>
            </w:pPr>
            <w:r>
              <w:rPr>
                <w:rFonts w:hint="eastAsia" w:ascii="楷体_GB2312" w:hAnsi="宋体" w:eastAsia="楷体_GB2312"/>
                <w:b/>
                <w:sz w:val="24"/>
              </w:rPr>
              <w:t>14.《论公共利益的现代法律转向》，《政治与法律》2009年第9期；（0.7万字，被引</w:t>
            </w:r>
            <w:r>
              <w:rPr>
                <w:rFonts w:ascii="楷体_GB2312" w:hAnsi="宋体" w:eastAsia="楷体_GB2312"/>
                <w:b/>
                <w:sz w:val="24"/>
              </w:rPr>
              <w:t>13</w:t>
            </w:r>
            <w:r>
              <w:rPr>
                <w:rFonts w:hint="eastAsia" w:ascii="楷体_GB2312" w:hAnsi="宋体" w:eastAsia="楷体_GB2312"/>
                <w:b/>
                <w:sz w:val="24"/>
              </w:rPr>
              <w:t>次）</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15.《产权制度与法治》（译文），《经济社会体制比较》，2007年第5期；（0.9万字，</w:t>
            </w:r>
            <w:r>
              <w:rPr>
                <w:rFonts w:ascii="楷体_GB2312" w:hAnsi="宋体" w:eastAsia="楷体_GB2312"/>
                <w:sz w:val="24"/>
              </w:rPr>
              <w:t>被引9次</w:t>
            </w:r>
            <w:r>
              <w:rPr>
                <w:rFonts w:hint="eastAsia" w:ascii="楷体_GB2312" w:hAnsi="宋体" w:eastAsia="楷体_GB2312"/>
                <w:sz w:val="24"/>
              </w:rPr>
              <w:t>）</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1</w:t>
            </w:r>
            <w:r>
              <w:rPr>
                <w:rFonts w:ascii="楷体_GB2312" w:hAnsi="宋体" w:eastAsia="楷体_GB2312"/>
                <w:sz w:val="24"/>
              </w:rPr>
              <w:t>6.</w:t>
            </w:r>
            <w:r>
              <w:rPr>
                <w:rFonts w:hint="eastAsia" w:ascii="楷体_GB2312" w:hAnsi="宋体" w:eastAsia="楷体_GB2312"/>
                <w:sz w:val="24"/>
              </w:rPr>
              <w:t>《司法</w:t>
            </w:r>
            <w:r>
              <w:rPr>
                <w:rFonts w:ascii="楷体_GB2312" w:hAnsi="宋体" w:eastAsia="楷体_GB2312"/>
                <w:sz w:val="24"/>
              </w:rPr>
              <w:t>权的本义》</w:t>
            </w:r>
            <w:r>
              <w:rPr>
                <w:rFonts w:hint="eastAsia" w:ascii="楷体_GB2312" w:hAnsi="宋体" w:eastAsia="楷体_GB2312"/>
                <w:sz w:val="24"/>
              </w:rPr>
              <w:t>（译文，</w:t>
            </w:r>
            <w:r>
              <w:rPr>
                <w:rFonts w:ascii="楷体_GB2312" w:hAnsi="宋体" w:eastAsia="楷体_GB2312"/>
                <w:sz w:val="24"/>
              </w:rPr>
              <w:t>笔名文亦非</w:t>
            </w:r>
            <w:r>
              <w:rPr>
                <w:rFonts w:hint="eastAsia" w:ascii="楷体_GB2312" w:hAnsi="宋体" w:eastAsia="楷体_GB2312"/>
                <w:sz w:val="24"/>
              </w:rPr>
              <w:t>），《经济社会体制比较》，2007年第5期；（</w:t>
            </w:r>
            <w:r>
              <w:rPr>
                <w:rFonts w:ascii="楷体_GB2312" w:hAnsi="宋体" w:eastAsia="楷体_GB2312"/>
                <w:sz w:val="24"/>
              </w:rPr>
              <w:t>1</w:t>
            </w:r>
            <w:r>
              <w:rPr>
                <w:rFonts w:hint="eastAsia" w:ascii="楷体_GB2312" w:hAnsi="宋体" w:eastAsia="楷体_GB2312"/>
                <w:sz w:val="24"/>
              </w:rPr>
              <w:t>万字，</w:t>
            </w:r>
            <w:r>
              <w:rPr>
                <w:rFonts w:ascii="楷体_GB2312" w:hAnsi="宋体" w:eastAsia="楷体_GB2312"/>
                <w:sz w:val="24"/>
              </w:rPr>
              <w:t>被引3次</w:t>
            </w:r>
            <w:r>
              <w:rPr>
                <w:rFonts w:hint="eastAsia" w:ascii="楷体_GB2312" w:hAnsi="宋体" w:eastAsia="楷体_GB2312"/>
                <w:sz w:val="24"/>
              </w:rPr>
              <w:t>）</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1</w:t>
            </w:r>
            <w:r>
              <w:rPr>
                <w:rFonts w:ascii="楷体_GB2312" w:hAnsi="宋体" w:eastAsia="楷体_GB2312"/>
                <w:sz w:val="24"/>
              </w:rPr>
              <w:t>7</w:t>
            </w:r>
            <w:r>
              <w:rPr>
                <w:rFonts w:hint="eastAsia" w:ascii="楷体_GB2312" w:hAnsi="宋体" w:eastAsia="楷体_GB2312"/>
                <w:sz w:val="24"/>
              </w:rPr>
              <w:t>.《我国网络交易中消费者权益立法保护的不足与完善》，《河北法学》2011年第9期；（0.9万字，</w:t>
            </w:r>
            <w:r>
              <w:rPr>
                <w:rFonts w:hint="eastAsia" w:ascii="楷体_GB2312" w:hAnsi="宋体" w:eastAsia="楷体_GB2312"/>
                <w:b/>
                <w:sz w:val="24"/>
              </w:rPr>
              <w:t>被引8</w:t>
            </w:r>
            <w:r>
              <w:rPr>
                <w:rFonts w:ascii="楷体_GB2312" w:hAnsi="宋体" w:eastAsia="楷体_GB2312"/>
                <w:b/>
                <w:sz w:val="24"/>
              </w:rPr>
              <w:t>4</w:t>
            </w:r>
            <w:r>
              <w:rPr>
                <w:rFonts w:hint="eastAsia" w:ascii="楷体_GB2312" w:hAnsi="宋体" w:eastAsia="楷体_GB2312"/>
                <w:b/>
                <w:sz w:val="24"/>
              </w:rPr>
              <w:t>次</w:t>
            </w:r>
            <w:r>
              <w:rPr>
                <w:rFonts w:hint="eastAsia" w:ascii="楷体_GB2312" w:hAnsi="宋体" w:eastAsia="楷体_GB2312"/>
                <w:sz w:val="24"/>
              </w:rPr>
              <w:t>）</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1</w:t>
            </w:r>
            <w:r>
              <w:rPr>
                <w:rFonts w:ascii="楷体_GB2312" w:hAnsi="宋体" w:eastAsia="楷体_GB2312"/>
                <w:sz w:val="24"/>
              </w:rPr>
              <w:t>8</w:t>
            </w:r>
            <w:r>
              <w:rPr>
                <w:rFonts w:hint="eastAsia" w:ascii="楷体_GB2312" w:hAnsi="宋体" w:eastAsia="楷体_GB2312"/>
                <w:sz w:val="24"/>
              </w:rPr>
              <w:t>.《公共利益作为不确定法律概念的法律化思考》，载《安徽师范大学学报（人文社会科学版）》2010年第5期；（0.8万字，被引4次）</w:t>
            </w:r>
          </w:p>
          <w:p>
            <w:pPr>
              <w:spacing w:line="360" w:lineRule="auto"/>
              <w:ind w:firstLine="120" w:firstLineChars="50"/>
              <w:rPr>
                <w:rFonts w:ascii="宋体" w:hAnsi="宋体"/>
                <w:sz w:val="24"/>
              </w:rPr>
            </w:pPr>
          </w:p>
          <w:p>
            <w:pPr>
              <w:tabs>
                <w:tab w:val="left" w:pos="4185"/>
              </w:tabs>
              <w:snapToGrid w:val="0"/>
              <w:spacing w:line="360" w:lineRule="auto"/>
              <w:rPr>
                <w:rFonts w:ascii="宋体" w:hAnsi="宋体"/>
                <w:b/>
                <w:color w:val="000000"/>
                <w:sz w:val="28"/>
                <w:szCs w:val="28"/>
              </w:rPr>
            </w:pPr>
            <w:r>
              <w:rPr>
                <w:rFonts w:hint="eastAsia" w:ascii="宋体" w:hAnsi="宋体"/>
                <w:b/>
                <w:color w:val="000000"/>
                <w:sz w:val="28"/>
                <w:szCs w:val="28"/>
              </w:rPr>
              <w:t>（二）代表性独立著作</w:t>
            </w:r>
          </w:p>
          <w:p>
            <w:pPr>
              <w:spacing w:line="360" w:lineRule="auto"/>
              <w:ind w:firstLine="120" w:firstLineChars="50"/>
              <w:rPr>
                <w:rFonts w:ascii="楷体_GB2312" w:hAnsi="宋体" w:eastAsia="楷体_GB2312"/>
                <w:sz w:val="24"/>
              </w:rPr>
            </w:pPr>
            <w:r>
              <w:rPr>
                <w:rFonts w:hint="eastAsia" w:ascii="楷体_GB2312" w:hAnsi="宋体" w:eastAsia="楷体_GB2312"/>
                <w:sz w:val="24"/>
              </w:rPr>
              <w:t>1.《公共利益法律化研究》，人民出版社2017年版；（21.</w:t>
            </w:r>
            <w:r>
              <w:rPr>
                <w:rFonts w:ascii="楷体_GB2312" w:hAnsi="宋体" w:eastAsia="楷体_GB2312"/>
                <w:sz w:val="24"/>
              </w:rPr>
              <w:t>3</w:t>
            </w:r>
            <w:r>
              <w:rPr>
                <w:rFonts w:hint="eastAsia" w:ascii="楷体_GB2312" w:hAnsi="宋体" w:eastAsia="楷体_GB2312"/>
                <w:sz w:val="24"/>
              </w:rPr>
              <w:t>万字）</w:t>
            </w:r>
          </w:p>
          <w:p>
            <w:pPr>
              <w:tabs>
                <w:tab w:val="left" w:pos="4185"/>
              </w:tabs>
              <w:snapToGrid w:val="0"/>
              <w:spacing w:line="360" w:lineRule="auto"/>
              <w:ind w:firstLine="120" w:firstLineChars="50"/>
              <w:jc w:val="left"/>
              <w:rPr>
                <w:rFonts w:ascii="楷体_GB2312" w:hAnsi="楷体" w:eastAsia="楷体_GB2312"/>
                <w:b/>
                <w:color w:val="000000"/>
                <w:sz w:val="24"/>
              </w:rPr>
            </w:pPr>
            <w:r>
              <w:rPr>
                <w:rFonts w:hint="eastAsia" w:ascii="楷体_GB2312" w:hAnsi="宋体" w:eastAsia="楷体_GB2312"/>
                <w:sz w:val="24"/>
              </w:rPr>
              <w:t>2.《德国劳动法与劳资关系》（独立译著），商务印书馆2012年版。（20万字）</w:t>
            </w: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宋体" w:hAnsi="宋体"/>
                <w:b/>
                <w:color w:val="000000"/>
                <w:sz w:val="28"/>
                <w:szCs w:val="28"/>
              </w:rPr>
            </w:pPr>
            <w:r>
              <w:rPr>
                <w:rFonts w:hint="eastAsia" w:ascii="宋体" w:hAnsi="宋体"/>
                <w:b/>
                <w:color w:val="000000"/>
                <w:sz w:val="28"/>
                <w:szCs w:val="28"/>
              </w:rPr>
              <w:t>（三</w:t>
            </w:r>
            <w:r>
              <w:rPr>
                <w:rFonts w:ascii="宋体" w:hAnsi="宋体"/>
                <w:b/>
                <w:color w:val="000000"/>
                <w:sz w:val="28"/>
                <w:szCs w:val="28"/>
              </w:rPr>
              <w:t>）</w:t>
            </w:r>
            <w:r>
              <w:rPr>
                <w:rFonts w:hint="eastAsia" w:ascii="宋体" w:hAnsi="宋体"/>
                <w:b/>
                <w:color w:val="000000"/>
                <w:sz w:val="28"/>
                <w:szCs w:val="28"/>
              </w:rPr>
              <w:t>代表</w:t>
            </w:r>
            <w:r>
              <w:rPr>
                <w:rFonts w:ascii="宋体" w:hAnsi="宋体"/>
                <w:b/>
                <w:color w:val="000000"/>
                <w:sz w:val="28"/>
                <w:szCs w:val="28"/>
              </w:rPr>
              <w:t>性</w:t>
            </w:r>
            <w:r>
              <w:rPr>
                <w:rFonts w:hint="eastAsia" w:ascii="宋体" w:hAnsi="宋体"/>
                <w:b/>
                <w:color w:val="000000"/>
                <w:sz w:val="28"/>
                <w:szCs w:val="28"/>
              </w:rPr>
              <w:t>科研</w:t>
            </w:r>
            <w:r>
              <w:rPr>
                <w:rFonts w:ascii="宋体" w:hAnsi="宋体"/>
                <w:b/>
                <w:color w:val="000000"/>
                <w:sz w:val="28"/>
                <w:szCs w:val="28"/>
              </w:rPr>
              <w:t>立项</w:t>
            </w:r>
          </w:p>
          <w:p>
            <w:pPr>
              <w:tabs>
                <w:tab w:val="left" w:pos="4185"/>
              </w:tabs>
              <w:snapToGrid w:val="0"/>
              <w:jc w:val="left"/>
              <w:rPr>
                <w:rFonts w:ascii="楷体_GB2312" w:hAnsi="宋体" w:eastAsia="楷体_GB2312"/>
                <w:sz w:val="24"/>
              </w:rPr>
            </w:pPr>
            <w:r>
              <w:rPr>
                <w:rFonts w:hint="eastAsia" w:ascii="楷体_GB2312" w:hAnsi="宋体" w:eastAsia="楷体_GB2312"/>
                <w:sz w:val="24"/>
              </w:rPr>
              <w:t xml:space="preserve"> </w:t>
            </w:r>
          </w:p>
          <w:p>
            <w:pPr>
              <w:tabs>
                <w:tab w:val="left" w:pos="4185"/>
              </w:tabs>
              <w:snapToGrid w:val="0"/>
              <w:spacing w:line="360" w:lineRule="auto"/>
              <w:ind w:firstLine="120" w:firstLineChars="50"/>
              <w:jc w:val="left"/>
              <w:rPr>
                <w:rFonts w:ascii="楷体_GB2312" w:hAnsi="宋体" w:eastAsia="楷体_GB2312"/>
                <w:sz w:val="24"/>
              </w:rPr>
            </w:pPr>
            <w:r>
              <w:rPr>
                <w:rFonts w:ascii="楷体_GB2312" w:hAnsi="宋体" w:eastAsia="楷体_GB2312"/>
                <w:sz w:val="24"/>
              </w:rPr>
              <w:t>1.</w:t>
            </w:r>
            <w:r>
              <w:rPr>
                <w:rFonts w:hint="eastAsia" w:ascii="楷体_GB2312" w:hAnsi="宋体" w:eastAsia="楷体_GB2312"/>
                <w:sz w:val="24"/>
              </w:rPr>
              <w:t>主持国家</w:t>
            </w:r>
            <w:r>
              <w:rPr>
                <w:rFonts w:ascii="楷体_GB2312" w:hAnsi="宋体" w:eastAsia="楷体_GB2312"/>
                <w:sz w:val="24"/>
              </w:rPr>
              <w:t>社科基金</w:t>
            </w:r>
            <w:r>
              <w:rPr>
                <w:rFonts w:hint="eastAsia" w:ascii="楷体_GB2312" w:hAnsi="宋体" w:eastAsia="楷体_GB2312"/>
                <w:sz w:val="24"/>
              </w:rPr>
              <w:t>一般</w:t>
            </w:r>
            <w:r>
              <w:rPr>
                <w:rFonts w:ascii="楷体_GB2312" w:hAnsi="宋体" w:eastAsia="楷体_GB2312"/>
                <w:sz w:val="24"/>
              </w:rPr>
              <w:t>项目“</w:t>
            </w:r>
            <w:r>
              <w:rPr>
                <w:rFonts w:hint="eastAsia" w:ascii="楷体_GB2312" w:hAnsi="宋体" w:eastAsia="楷体_GB2312"/>
                <w:sz w:val="24"/>
              </w:rPr>
              <w:t>地方</w:t>
            </w:r>
            <w:r>
              <w:rPr>
                <w:rFonts w:ascii="楷体_GB2312" w:hAnsi="宋体" w:eastAsia="楷体_GB2312"/>
                <w:sz w:val="24"/>
              </w:rPr>
              <w:t>法治化</w:t>
            </w:r>
            <w:r>
              <w:rPr>
                <w:rFonts w:hint="eastAsia" w:ascii="楷体_GB2312" w:hAnsi="宋体" w:eastAsia="楷体_GB2312"/>
                <w:sz w:val="24"/>
              </w:rPr>
              <w:t>差异</w:t>
            </w:r>
            <w:r>
              <w:rPr>
                <w:rFonts w:ascii="楷体_GB2312" w:hAnsi="宋体" w:eastAsia="楷体_GB2312"/>
                <w:sz w:val="24"/>
              </w:rPr>
              <w:t>格局与法治中国</w:t>
            </w:r>
            <w:r>
              <w:rPr>
                <w:rFonts w:hint="eastAsia" w:ascii="楷体_GB2312" w:hAnsi="宋体" w:eastAsia="楷体_GB2312"/>
                <w:sz w:val="24"/>
              </w:rPr>
              <w:t>实现</w:t>
            </w:r>
            <w:r>
              <w:rPr>
                <w:rFonts w:ascii="楷体_GB2312" w:hAnsi="宋体" w:eastAsia="楷体_GB2312"/>
                <w:sz w:val="24"/>
              </w:rPr>
              <w:t>路径研究”</w:t>
            </w:r>
            <w:r>
              <w:rPr>
                <w:rFonts w:hint="eastAsia" w:ascii="楷体_GB2312" w:hAnsi="宋体" w:eastAsia="楷体_GB2312"/>
                <w:sz w:val="24"/>
              </w:rPr>
              <w:t>（项目</w:t>
            </w:r>
            <w:r>
              <w:rPr>
                <w:rFonts w:ascii="楷体_GB2312" w:hAnsi="宋体" w:eastAsia="楷体_GB2312"/>
                <w:sz w:val="24"/>
              </w:rPr>
              <w:t>编号：</w:t>
            </w:r>
            <w:r>
              <w:rPr>
                <w:rFonts w:hint="eastAsia" w:ascii="楷体_GB2312" w:hAnsi="宋体" w:eastAsia="楷体_GB2312"/>
                <w:sz w:val="24"/>
              </w:rPr>
              <w:t>1</w:t>
            </w:r>
            <w:r>
              <w:rPr>
                <w:rFonts w:ascii="楷体_GB2312" w:hAnsi="宋体" w:eastAsia="楷体_GB2312"/>
                <w:sz w:val="24"/>
              </w:rPr>
              <w:t>4BFX005）</w:t>
            </w:r>
            <w:r>
              <w:rPr>
                <w:rFonts w:hint="eastAsia" w:ascii="楷体_GB2312" w:hAnsi="宋体" w:eastAsia="楷体_GB2312"/>
                <w:sz w:val="24"/>
              </w:rPr>
              <w:t>。</w:t>
            </w:r>
          </w:p>
          <w:p>
            <w:pPr>
              <w:tabs>
                <w:tab w:val="left" w:pos="4185"/>
              </w:tabs>
              <w:snapToGrid w:val="0"/>
              <w:spacing w:line="360" w:lineRule="auto"/>
              <w:jc w:val="left"/>
              <w:rPr>
                <w:rFonts w:ascii="楷体_GB2312" w:hAnsi="宋体" w:eastAsia="楷体_GB2312"/>
                <w:sz w:val="24"/>
              </w:rPr>
            </w:pPr>
          </w:p>
          <w:p>
            <w:pPr>
              <w:tabs>
                <w:tab w:val="left" w:pos="4185"/>
              </w:tabs>
              <w:snapToGrid w:val="0"/>
              <w:spacing w:line="360" w:lineRule="auto"/>
              <w:jc w:val="left"/>
              <w:rPr>
                <w:rFonts w:ascii="楷体_GB2312" w:hAnsi="宋体" w:eastAsia="楷体_GB2312"/>
                <w:sz w:val="24"/>
              </w:rPr>
            </w:pPr>
          </w:p>
          <w:p>
            <w:pPr>
              <w:tabs>
                <w:tab w:val="left" w:pos="4185"/>
              </w:tabs>
              <w:snapToGrid w:val="0"/>
              <w:spacing w:line="360" w:lineRule="auto"/>
              <w:jc w:val="left"/>
              <w:rPr>
                <w:rFonts w:ascii="楷体_GB2312" w:hAnsi="宋体" w:eastAsia="楷体_GB2312"/>
                <w:sz w:val="24"/>
              </w:rPr>
            </w:pPr>
          </w:p>
          <w:p>
            <w:pPr>
              <w:tabs>
                <w:tab w:val="left" w:pos="4185"/>
              </w:tabs>
              <w:snapToGrid w:val="0"/>
              <w:spacing w:line="360" w:lineRule="auto"/>
              <w:jc w:val="left"/>
              <w:rPr>
                <w:rFonts w:ascii="楷体_GB2312" w:hAnsi="宋体" w:eastAsia="楷体_GB2312"/>
                <w:sz w:val="24"/>
              </w:rPr>
            </w:pPr>
          </w:p>
          <w:p>
            <w:pPr>
              <w:tabs>
                <w:tab w:val="left" w:pos="4185"/>
              </w:tabs>
              <w:snapToGrid w:val="0"/>
              <w:jc w:val="center"/>
              <w:rPr>
                <w:rFonts w:ascii="宋体" w:hAnsi="宋体"/>
                <w:b/>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2"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cs="Arial"/>
                <w:b/>
                <w:kern w:val="0"/>
                <w:sz w:val="30"/>
                <w:szCs w:val="30"/>
              </w:rPr>
            </w:pPr>
          </w:p>
          <w:p>
            <w:pPr>
              <w:tabs>
                <w:tab w:val="left" w:pos="4185"/>
              </w:tabs>
              <w:snapToGrid w:val="0"/>
              <w:jc w:val="center"/>
              <w:rPr>
                <w:rFonts w:ascii="楷体_GB2312" w:hAnsi="楷体" w:eastAsia="楷体_GB2312"/>
                <w:b/>
                <w:color w:val="000000"/>
                <w:sz w:val="24"/>
              </w:rPr>
            </w:pPr>
            <w:r>
              <w:rPr>
                <w:rFonts w:hint="eastAsia" w:cs="Arial"/>
                <w:b/>
                <w:kern w:val="0"/>
                <w:sz w:val="30"/>
                <w:szCs w:val="30"/>
              </w:rPr>
              <w:t>在法学教育方面</w:t>
            </w:r>
            <w:r>
              <w:rPr>
                <w:rFonts w:cs="Arial"/>
                <w:b/>
                <w:kern w:val="0"/>
                <w:sz w:val="30"/>
                <w:szCs w:val="30"/>
              </w:rPr>
              <w:t>的贡献</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（如编写重点教材、主讲精品课程、在法学教育方面获得的重要荣誉表彰等。）</w:t>
            </w:r>
          </w:p>
          <w:p>
            <w:pPr>
              <w:tabs>
                <w:tab w:val="left" w:pos="4185"/>
              </w:tabs>
              <w:snapToGrid w:val="0"/>
              <w:jc w:val="left"/>
              <w:rPr>
                <w:rFonts w:ascii="楷体_GB2312" w:hAnsi="楷体" w:eastAsia="楷体_GB2312"/>
                <w:b/>
                <w:color w:val="000000"/>
                <w:sz w:val="24"/>
              </w:rPr>
            </w:pPr>
          </w:p>
          <w:p>
            <w:pPr>
              <w:tabs>
                <w:tab w:val="left" w:pos="4185"/>
              </w:tabs>
              <w:snapToGrid w:val="0"/>
              <w:spacing w:line="360" w:lineRule="auto"/>
              <w:ind w:firstLine="480"/>
              <w:rPr>
                <w:rFonts w:ascii="楷体_GB2312" w:hAnsi="宋体" w:eastAsia="楷体_GB2312"/>
                <w:color w:val="000000"/>
                <w:sz w:val="24"/>
              </w:rPr>
            </w:pPr>
            <w:r>
              <w:rPr>
                <w:rFonts w:hint="eastAsia" w:ascii="楷体_GB2312" w:hAnsi="宋体" w:eastAsia="楷体_GB2312"/>
                <w:color w:val="000000"/>
                <w:sz w:val="24"/>
              </w:rPr>
              <w:t>倪斐同志从事高校法学教育工作17年，一直兢兢业业，为国家培养了一大批优秀的法律人才。</w:t>
            </w:r>
          </w:p>
          <w:p>
            <w:pPr>
              <w:tabs>
                <w:tab w:val="left" w:pos="4185"/>
              </w:tabs>
              <w:snapToGrid w:val="0"/>
              <w:spacing w:line="360" w:lineRule="auto"/>
              <w:ind w:firstLine="480"/>
              <w:rPr>
                <w:rFonts w:ascii="楷体_GB2312" w:hAnsi="宋体" w:eastAsia="楷体_GB2312"/>
                <w:color w:val="000000"/>
                <w:sz w:val="24"/>
              </w:rPr>
            </w:pPr>
            <w:r>
              <w:rPr>
                <w:rFonts w:hint="eastAsia" w:ascii="楷体_GB2312" w:hAnsi="宋体" w:eastAsia="楷体_GB2312"/>
                <w:color w:val="000000"/>
                <w:sz w:val="24"/>
              </w:rPr>
              <w:t>自2009年开始任职于南京师范大学法学院以来，倪斐同志承担了法学院本科生、研究生的专业核心课程的教学和学位论文的指导工作；所授课程得到了学生和同行的好评，直接指导和培养硕士研究生近30名。</w:t>
            </w:r>
          </w:p>
          <w:p>
            <w:pPr>
              <w:tabs>
                <w:tab w:val="left" w:pos="4185"/>
              </w:tabs>
              <w:snapToGrid w:val="0"/>
              <w:spacing w:line="360" w:lineRule="auto"/>
              <w:ind w:firstLine="480"/>
              <w:rPr>
                <w:rFonts w:ascii="楷体_GB2312" w:hAnsi="楷体" w:eastAsia="楷体_GB2312"/>
                <w:b/>
                <w:color w:val="000000"/>
                <w:sz w:val="24"/>
              </w:rPr>
            </w:pPr>
            <w:r>
              <w:rPr>
                <w:rFonts w:hint="eastAsia" w:ascii="楷体_GB2312" w:hAnsi="宋体" w:eastAsia="楷体_GB2312"/>
                <w:color w:val="000000"/>
                <w:sz w:val="24"/>
              </w:rPr>
              <w:t>鉴于倪斐同志在法学教育方面的贡献，2014年荣获南京师范大学首届“优秀教师奖”。</w:t>
            </w: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4"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cs="Arial"/>
                <w:kern w:val="0"/>
                <w:sz w:val="32"/>
                <w:szCs w:val="32"/>
              </w:rPr>
            </w:pPr>
            <w:r>
              <w:rPr>
                <w:rFonts w:hint="eastAsia" w:cs="Arial"/>
                <w:b/>
                <w:kern w:val="0"/>
                <w:sz w:val="30"/>
                <w:szCs w:val="30"/>
              </w:rPr>
              <w:t>在法治宣传方面</w:t>
            </w:r>
            <w:r>
              <w:rPr>
                <w:rFonts w:cs="Arial"/>
                <w:b/>
                <w:kern w:val="0"/>
                <w:sz w:val="30"/>
                <w:szCs w:val="30"/>
              </w:rPr>
              <w:t>的贡献</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（如担任法治宣讲活动主讲人、在媒体上发表法治宣传文章等。）</w:t>
            </w:r>
          </w:p>
          <w:p>
            <w:pPr>
              <w:tabs>
                <w:tab w:val="left" w:pos="4185"/>
              </w:tabs>
              <w:snapToGrid w:val="0"/>
              <w:jc w:val="left"/>
              <w:rPr>
                <w:rFonts w:ascii="楷体_GB2312" w:hAnsi="楷体" w:eastAsia="楷体_GB2312"/>
                <w:b/>
                <w:color w:val="000000"/>
                <w:sz w:val="24"/>
              </w:rPr>
            </w:pPr>
          </w:p>
          <w:p>
            <w:pPr>
              <w:tabs>
                <w:tab w:val="left" w:pos="4185"/>
              </w:tabs>
              <w:snapToGrid w:val="0"/>
              <w:spacing w:line="360" w:lineRule="auto"/>
              <w:ind w:firstLine="480" w:firstLineChars="200"/>
              <w:jc w:val="left"/>
              <w:rPr>
                <w:rFonts w:ascii="楷体_GB2312" w:hAnsi="宋体" w:eastAsia="楷体_GB2312"/>
                <w:color w:val="000000"/>
                <w:sz w:val="24"/>
              </w:rPr>
            </w:pPr>
            <w:r>
              <w:rPr>
                <w:rFonts w:hint="eastAsia" w:ascii="楷体_GB2312" w:hAnsi="宋体" w:eastAsia="楷体_GB2312"/>
                <w:color w:val="000000"/>
                <w:sz w:val="24"/>
              </w:rPr>
              <w:t>1. 撰写江苏省委政法委主编的《法治建设指标体系解读》第五章“法治宣传教育”。为法治宣传部门推进法治宣传工作提供了理论依据和实践指引。</w:t>
            </w:r>
          </w:p>
          <w:p>
            <w:pPr>
              <w:tabs>
                <w:tab w:val="left" w:pos="4185"/>
              </w:tabs>
              <w:snapToGrid w:val="0"/>
              <w:spacing w:line="360" w:lineRule="auto"/>
              <w:ind w:firstLine="480"/>
              <w:jc w:val="left"/>
              <w:rPr>
                <w:rFonts w:ascii="楷体_GB2312" w:hAnsi="宋体" w:eastAsia="楷体_GB2312"/>
                <w:color w:val="000000"/>
                <w:sz w:val="24"/>
              </w:rPr>
            </w:pPr>
            <w:r>
              <w:rPr>
                <w:rFonts w:hint="eastAsia" w:ascii="楷体_GB2312" w:hAnsi="宋体" w:eastAsia="楷体_GB2312"/>
                <w:color w:val="000000"/>
                <w:sz w:val="24"/>
              </w:rPr>
              <w:t>2.负责公丕祥教授主持的江苏县域法治国情调查重大课题中法治宣传部分的调研工作，深入了解了江苏法治宣传工作情况及问题，撰写的县域法治国情调查报告中的法治宣传实践调查部分为江苏省法治宣传工作的进一步完善提供了决策参考。</w:t>
            </w:r>
          </w:p>
          <w:p>
            <w:pPr>
              <w:tabs>
                <w:tab w:val="left" w:pos="4185"/>
              </w:tabs>
              <w:snapToGrid w:val="0"/>
              <w:spacing w:line="360" w:lineRule="auto"/>
              <w:ind w:firstLine="480"/>
              <w:jc w:val="left"/>
              <w:rPr>
                <w:rFonts w:ascii="楷体_GB2312" w:hAnsi="宋体" w:eastAsia="楷体_GB2312"/>
                <w:color w:val="000000"/>
                <w:sz w:val="24"/>
              </w:rPr>
            </w:pPr>
            <w:r>
              <w:rPr>
                <w:rFonts w:hint="eastAsia" w:ascii="楷体_GB2312" w:hAnsi="宋体" w:eastAsia="楷体_GB2312"/>
                <w:color w:val="000000"/>
                <w:sz w:val="24"/>
              </w:rPr>
              <w:t>3.受江苏省物价局邀请，担任“公平竞争审查制度的理论与实践”专题</w:t>
            </w:r>
            <w:r>
              <w:rPr>
                <w:rFonts w:ascii="楷体_GB2312" w:hAnsi="宋体" w:eastAsia="楷体_GB2312"/>
                <w:color w:val="000000"/>
                <w:sz w:val="24"/>
              </w:rPr>
              <w:t>主讲人</w:t>
            </w:r>
            <w:r>
              <w:rPr>
                <w:rFonts w:hint="eastAsia" w:ascii="楷体_GB2312" w:hAnsi="宋体" w:eastAsia="楷体_GB2312"/>
                <w:color w:val="000000"/>
                <w:sz w:val="24"/>
              </w:rPr>
              <w:t>，传播了公平市场竞争法治理念，为江苏营造法治营商环境提供了智力支持。</w:t>
            </w:r>
          </w:p>
          <w:p>
            <w:pPr>
              <w:tabs>
                <w:tab w:val="left" w:pos="4185"/>
              </w:tabs>
              <w:snapToGrid w:val="0"/>
              <w:spacing w:line="360" w:lineRule="auto"/>
              <w:ind w:firstLine="480"/>
              <w:jc w:val="left"/>
              <w:rPr>
                <w:rFonts w:ascii="楷体_GB2312" w:hAnsi="宋体" w:eastAsia="楷体_GB2312"/>
                <w:color w:val="000000"/>
                <w:sz w:val="24"/>
              </w:rPr>
            </w:pPr>
            <w:r>
              <w:rPr>
                <w:rFonts w:hint="eastAsia" w:ascii="楷体_GB2312" w:hAnsi="宋体" w:eastAsia="楷体_GB2312"/>
                <w:color w:val="000000"/>
                <w:sz w:val="24"/>
              </w:rPr>
              <w:t>4.2012年9月，江苏省政府法制办起草《江苏省行政事业性收费管理办法（草案）》向社会公开征求意见后，作为法律专家受邀参加立法辩论会，其</w:t>
            </w:r>
            <w:r>
              <w:rPr>
                <w:rFonts w:ascii="楷体_GB2312" w:hAnsi="宋体" w:eastAsia="楷体_GB2312"/>
                <w:color w:val="000000"/>
                <w:sz w:val="24"/>
              </w:rPr>
              <w:t>精彩辩论</w:t>
            </w:r>
            <w:r>
              <w:rPr>
                <w:rFonts w:hint="eastAsia" w:ascii="楷体_GB2312" w:hAnsi="宋体" w:eastAsia="楷体_GB2312"/>
                <w:color w:val="000000"/>
                <w:sz w:val="24"/>
              </w:rPr>
              <w:t>宣传了行政法治理念，取得良好社会反响。</w:t>
            </w:r>
          </w:p>
          <w:p>
            <w:pPr>
              <w:tabs>
                <w:tab w:val="left" w:pos="4185"/>
              </w:tabs>
              <w:snapToGrid w:val="0"/>
              <w:spacing w:line="360" w:lineRule="auto"/>
              <w:ind w:firstLine="480"/>
              <w:jc w:val="left"/>
              <w:rPr>
                <w:rFonts w:cs="Arial"/>
                <w:kern w:val="0"/>
                <w:sz w:val="32"/>
                <w:szCs w:val="32"/>
              </w:rPr>
            </w:pPr>
            <w:r>
              <w:rPr>
                <w:rFonts w:hint="eastAsia" w:ascii="楷体_GB2312" w:hAnsi="宋体" w:eastAsia="楷体_GB2312"/>
                <w:color w:val="000000"/>
                <w:sz w:val="24"/>
              </w:rPr>
              <w:t>5.在《江苏法制报》2015年6月18日第00C版撰文《防止权力滥用 保护公平竞争》，宣扬公平市场竞争法治理念。</w:t>
            </w:r>
          </w:p>
          <w:p>
            <w:pPr>
              <w:tabs>
                <w:tab w:val="left" w:pos="4185"/>
              </w:tabs>
              <w:snapToGrid w:val="0"/>
              <w:jc w:val="left"/>
              <w:rPr>
                <w:rFonts w:cs="Arial"/>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2"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在法治实践方面</w:t>
            </w:r>
            <w:r>
              <w:rPr>
                <w:rFonts w:cs="Arial"/>
                <w:b/>
                <w:kern w:val="0"/>
                <w:sz w:val="30"/>
                <w:szCs w:val="30"/>
              </w:rPr>
              <w:t>的贡献</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（如在实务部门挂职、参与重大案件论证、仲裁等。）</w:t>
            </w:r>
          </w:p>
          <w:p>
            <w:pPr>
              <w:tabs>
                <w:tab w:val="left" w:pos="4185"/>
              </w:tabs>
              <w:snapToGrid w:val="0"/>
              <w:jc w:val="left"/>
              <w:rPr>
                <w:rFonts w:cs="Arial"/>
                <w:kern w:val="0"/>
                <w:sz w:val="32"/>
                <w:szCs w:val="32"/>
              </w:rPr>
            </w:pPr>
          </w:p>
          <w:p>
            <w:pPr>
              <w:tabs>
                <w:tab w:val="left" w:pos="4185"/>
              </w:tabs>
              <w:snapToGrid w:val="0"/>
              <w:spacing w:line="360" w:lineRule="auto"/>
              <w:ind w:firstLine="480" w:firstLineChars="200"/>
              <w:jc w:val="left"/>
              <w:rPr>
                <w:rFonts w:ascii="楷体_GB2312" w:hAnsi="宋体" w:eastAsia="楷体_GB2312" w:cs="Arial"/>
                <w:kern w:val="0"/>
                <w:sz w:val="24"/>
              </w:rPr>
            </w:pPr>
            <w:r>
              <w:rPr>
                <w:rFonts w:hint="eastAsia" w:ascii="楷体_GB2312" w:hAnsi="宋体" w:eastAsia="楷体_GB2312" w:cs="Arial"/>
                <w:kern w:val="0"/>
                <w:sz w:val="24"/>
              </w:rPr>
              <w:t>1. 倪斐同志多次参加江苏省物价局反垄断法案件研讨，对疑难案件发表了具有实践价值的观点，获得实务部门的认可</w:t>
            </w:r>
            <w:r>
              <w:rPr>
                <w:rFonts w:ascii="楷体_GB2312" w:hAnsi="宋体" w:eastAsia="楷体_GB2312" w:cs="Arial"/>
                <w:kern w:val="0"/>
                <w:sz w:val="24"/>
              </w:rPr>
              <w:t>和</w:t>
            </w:r>
            <w:r>
              <w:rPr>
                <w:rFonts w:hint="eastAsia" w:ascii="楷体_GB2312" w:hAnsi="宋体" w:eastAsia="楷体_GB2312" w:cs="Arial"/>
                <w:kern w:val="0"/>
                <w:sz w:val="24"/>
              </w:rPr>
              <w:t>好评；</w:t>
            </w:r>
          </w:p>
          <w:p>
            <w:pPr>
              <w:tabs>
                <w:tab w:val="left" w:pos="4185"/>
              </w:tabs>
              <w:snapToGrid w:val="0"/>
              <w:spacing w:line="360" w:lineRule="auto"/>
              <w:ind w:firstLine="480" w:firstLineChars="200"/>
              <w:jc w:val="left"/>
              <w:rPr>
                <w:rFonts w:ascii="楷体_GB2312" w:hAnsi="宋体" w:eastAsia="楷体_GB2312" w:cs="Arial"/>
                <w:kern w:val="0"/>
                <w:sz w:val="24"/>
              </w:rPr>
            </w:pPr>
            <w:r>
              <w:rPr>
                <w:rFonts w:hint="eastAsia" w:ascii="楷体_GB2312" w:hAnsi="宋体" w:eastAsia="楷体_GB2312" w:cs="Arial"/>
                <w:kern w:val="0"/>
                <w:sz w:val="24"/>
              </w:rPr>
              <w:t>2. 受聘担任江苏宿迁“政法智库专家”，多次为宿迁市法治建设建言献策；</w:t>
            </w:r>
          </w:p>
          <w:p>
            <w:pPr>
              <w:tabs>
                <w:tab w:val="left" w:pos="4185"/>
              </w:tabs>
              <w:snapToGrid w:val="0"/>
              <w:spacing w:line="360" w:lineRule="auto"/>
              <w:ind w:firstLine="480" w:firstLineChars="200"/>
              <w:jc w:val="left"/>
              <w:rPr>
                <w:rFonts w:cs="Arial"/>
                <w:kern w:val="0"/>
                <w:sz w:val="32"/>
                <w:szCs w:val="32"/>
              </w:rPr>
            </w:pPr>
            <w:r>
              <w:rPr>
                <w:rFonts w:hint="eastAsia" w:ascii="楷体_GB2312" w:hAnsi="宋体" w:eastAsia="楷体_GB2312" w:cs="Arial"/>
                <w:kern w:val="0"/>
                <w:sz w:val="24"/>
              </w:rPr>
              <w:t>3. 先后参加南京市人大常委会《南京市大气污染防治条例》（2012年）、《南京市航道管理条例》（2013年）、《南京市船舶修造业管理条例》（2014年）、《南京市城市治理条例》（2015年）等南京市重要地方立法的立法后评估工作，评估意见被南京市人大常委会采纳，为推动地方立法工作，提高立法质量作出了积极贡献。</w:t>
            </w:r>
          </w:p>
          <w:p>
            <w:pPr>
              <w:tabs>
                <w:tab w:val="left" w:pos="4185"/>
              </w:tabs>
              <w:snapToGrid w:val="0"/>
              <w:jc w:val="left"/>
              <w:rPr>
                <w:rFonts w:cs="Arial"/>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6"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left"/>
              <w:rPr>
                <w:rFonts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jc w:val="left"/>
              <w:rPr>
                <w:rFonts w:ascii="楷体" w:hAnsi="楷体" w:eastAsia="楷体" w:cs="Arial"/>
                <w:b/>
                <w:kern w:val="0"/>
                <w:szCs w:val="21"/>
              </w:rPr>
            </w:pPr>
          </w:p>
          <w:p>
            <w:pPr>
              <w:tabs>
                <w:tab w:val="left" w:pos="4185"/>
              </w:tabs>
              <w:snapToGrid w:val="0"/>
              <w:spacing w:line="360" w:lineRule="auto"/>
              <w:ind w:firstLine="360" w:firstLineChars="150"/>
              <w:jc w:val="left"/>
              <w:rPr>
                <w:rFonts w:ascii="楷体" w:hAnsi="楷体" w:eastAsia="楷体" w:cs="Arial"/>
                <w:b/>
                <w:kern w:val="0"/>
                <w:sz w:val="24"/>
              </w:rPr>
            </w:pPr>
            <w:r>
              <w:rPr>
                <w:rFonts w:hint="eastAsia" w:ascii="楷体_GB2312" w:hAnsi="宋体" w:eastAsia="楷体_GB2312"/>
                <w:sz w:val="24"/>
              </w:rPr>
              <w:t>1. 2014年获江苏省第十三届哲学社会科学优秀成果奖一等奖（省级）；</w:t>
            </w:r>
          </w:p>
          <w:p>
            <w:pPr>
              <w:spacing w:line="360" w:lineRule="auto"/>
              <w:rPr>
                <w:rFonts w:ascii="楷体_GB2312" w:hAnsi="宋体" w:eastAsia="楷体_GB2312"/>
                <w:sz w:val="24"/>
              </w:rPr>
            </w:pPr>
            <w:r>
              <w:rPr>
                <w:rFonts w:hint="eastAsia" w:ascii="楷体_GB2312" w:hAnsi="宋体" w:eastAsia="楷体_GB2312"/>
                <w:sz w:val="24"/>
              </w:rPr>
              <w:t xml:space="preserve">  </w:t>
            </w:r>
            <w:r>
              <w:rPr>
                <w:rFonts w:ascii="楷体_GB2312" w:hAnsi="宋体" w:eastAsia="楷体_GB2312"/>
                <w:sz w:val="24"/>
              </w:rPr>
              <w:t xml:space="preserve"> </w:t>
            </w:r>
            <w:r>
              <w:rPr>
                <w:rFonts w:hint="eastAsia" w:ascii="楷体_GB2312" w:hAnsi="宋体" w:eastAsia="楷体_GB2312"/>
                <w:sz w:val="24"/>
              </w:rPr>
              <w:t>2. 2014年获中国法学会第二届“董必武青年法学成果奖”二等奖（部</w:t>
            </w:r>
            <w:r>
              <w:rPr>
                <w:rFonts w:ascii="楷体_GB2312" w:hAnsi="宋体" w:eastAsia="楷体_GB2312"/>
                <w:sz w:val="24"/>
              </w:rPr>
              <w:t>级）</w:t>
            </w:r>
            <w:r>
              <w:rPr>
                <w:rFonts w:hint="eastAsia" w:ascii="楷体_GB2312" w:hAnsi="宋体" w:eastAsia="楷体_GB2312"/>
                <w:sz w:val="24"/>
              </w:rPr>
              <w:t>；</w:t>
            </w:r>
          </w:p>
          <w:p>
            <w:pPr>
              <w:spacing w:line="360" w:lineRule="auto"/>
              <w:rPr>
                <w:rFonts w:ascii="楷体_GB2312" w:hAnsi="宋体" w:eastAsia="楷体_GB2312"/>
                <w:sz w:val="24"/>
              </w:rPr>
            </w:pPr>
            <w:r>
              <w:rPr>
                <w:rFonts w:hint="eastAsia" w:ascii="楷体_GB2312" w:hAnsi="宋体" w:eastAsia="楷体_GB2312"/>
                <w:sz w:val="24"/>
              </w:rPr>
              <w:t xml:space="preserve">  </w:t>
            </w:r>
            <w:r>
              <w:rPr>
                <w:rFonts w:ascii="楷体_GB2312" w:hAnsi="宋体" w:eastAsia="楷体_GB2312"/>
                <w:sz w:val="24"/>
              </w:rPr>
              <w:t xml:space="preserve"> </w:t>
            </w:r>
            <w:r>
              <w:rPr>
                <w:rFonts w:hint="eastAsia" w:ascii="楷体_GB2312" w:hAnsi="宋体" w:eastAsia="楷体_GB2312"/>
                <w:sz w:val="24"/>
              </w:rPr>
              <w:t>3. 2016年入选江苏省“青蓝工程”优秀青年骨干教师计划（省级</w:t>
            </w:r>
            <w:r>
              <w:rPr>
                <w:rFonts w:ascii="楷体_GB2312" w:hAnsi="宋体" w:eastAsia="楷体_GB2312"/>
                <w:sz w:val="24"/>
              </w:rPr>
              <w:t>）</w:t>
            </w:r>
            <w:r>
              <w:rPr>
                <w:rFonts w:hint="eastAsia" w:ascii="楷体_GB2312" w:hAnsi="宋体" w:eastAsia="楷体_GB2312"/>
                <w:sz w:val="24"/>
              </w:rPr>
              <w:t>；</w:t>
            </w:r>
          </w:p>
          <w:p>
            <w:pPr>
              <w:spacing w:line="360" w:lineRule="auto"/>
              <w:rPr>
                <w:rFonts w:ascii="楷体_GB2312" w:hAnsi="宋体" w:eastAsia="楷体_GB2312"/>
                <w:sz w:val="24"/>
              </w:rPr>
            </w:pPr>
            <w:r>
              <w:rPr>
                <w:rFonts w:hint="eastAsia" w:ascii="楷体_GB2312" w:hAnsi="宋体" w:eastAsia="楷体_GB2312"/>
                <w:sz w:val="24"/>
              </w:rPr>
              <w:t xml:space="preserve">  </w:t>
            </w:r>
            <w:r>
              <w:rPr>
                <w:rFonts w:ascii="楷体_GB2312" w:hAnsi="宋体" w:eastAsia="楷体_GB2312"/>
                <w:sz w:val="24"/>
              </w:rPr>
              <w:t xml:space="preserve"> 4</w:t>
            </w:r>
            <w:r>
              <w:rPr>
                <w:rFonts w:hint="eastAsia" w:ascii="楷体_GB2312" w:hAnsi="宋体" w:eastAsia="楷体_GB2312"/>
                <w:sz w:val="24"/>
              </w:rPr>
              <w:t>. 2018年入选南京师范大学“中青年领军人才”计划（校级</w:t>
            </w:r>
            <w:r>
              <w:rPr>
                <w:rFonts w:ascii="楷体_GB2312" w:hAnsi="宋体" w:eastAsia="楷体_GB2312"/>
                <w:sz w:val="24"/>
              </w:rPr>
              <w:t>）</w:t>
            </w:r>
            <w:r>
              <w:rPr>
                <w:rFonts w:hint="eastAsia" w:ascii="楷体_GB2312" w:hAnsi="宋体" w:eastAsia="楷体_GB2312"/>
                <w:sz w:val="24"/>
              </w:rPr>
              <w:t>；</w:t>
            </w:r>
          </w:p>
          <w:p>
            <w:pPr>
              <w:spacing w:line="360" w:lineRule="auto"/>
              <w:ind w:firstLine="360" w:firstLineChars="150"/>
              <w:rPr>
                <w:rFonts w:ascii="楷体_GB2312" w:hAnsi="宋体" w:eastAsia="楷体_GB2312"/>
                <w:sz w:val="24"/>
              </w:rPr>
            </w:pPr>
            <w:r>
              <w:rPr>
                <w:rFonts w:ascii="楷体_GB2312" w:hAnsi="宋体" w:eastAsia="楷体_GB2312"/>
                <w:sz w:val="24"/>
              </w:rPr>
              <w:t>5. 2019</w:t>
            </w:r>
            <w:r>
              <w:rPr>
                <w:rFonts w:hint="eastAsia" w:ascii="楷体_GB2312" w:hAnsi="宋体" w:eastAsia="楷体_GB2312"/>
                <w:sz w:val="24"/>
              </w:rPr>
              <w:t>年</w:t>
            </w:r>
            <w:r>
              <w:rPr>
                <w:rFonts w:ascii="楷体_GB2312" w:hAnsi="宋体" w:eastAsia="楷体_GB2312"/>
                <w:sz w:val="24"/>
              </w:rPr>
              <w:t>获</w:t>
            </w:r>
            <w:r>
              <w:rPr>
                <w:rFonts w:hint="eastAsia" w:ascii="楷体_GB2312" w:hAnsi="宋体" w:eastAsia="楷体_GB2312"/>
                <w:sz w:val="24"/>
              </w:rPr>
              <w:t>第四届江苏省优秀青年法学家（省级</w:t>
            </w:r>
            <w:r>
              <w:rPr>
                <w:rFonts w:ascii="楷体_GB2312" w:hAnsi="宋体" w:eastAsia="楷体_GB2312"/>
                <w:sz w:val="24"/>
              </w:rPr>
              <w:t>）</w:t>
            </w:r>
            <w:r>
              <w:rPr>
                <w:rFonts w:hint="eastAsia" w:ascii="楷体_GB2312" w:hAnsi="宋体" w:eastAsia="楷体_GB2312"/>
                <w:sz w:val="24"/>
              </w:rPr>
              <w:t>。</w:t>
            </w:r>
          </w:p>
          <w:p>
            <w:pPr>
              <w:spacing w:line="360" w:lineRule="auto"/>
              <w:ind w:firstLine="315" w:firstLineChars="150"/>
              <w:rPr>
                <w:rFonts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6" w:hRule="atLeast"/>
        </w:trPr>
        <w:tc>
          <w:tcPr>
            <w:tcW w:w="9000" w:type="dxa"/>
            <w:gridSpan w:val="5"/>
            <w:tcBorders>
              <w:top w:val="single" w:color="auto" w:sz="4" w:space="0"/>
              <w:bottom w:val="single" w:color="000000" w:sz="4" w:space="0"/>
            </w:tcBorders>
            <w:vAlign w:val="center"/>
          </w:tcPr>
          <w:p>
            <w:pPr>
              <w:tabs>
                <w:tab w:val="left" w:pos="4185"/>
              </w:tabs>
              <w:snapToGrid w:val="0"/>
              <w:jc w:val="center"/>
              <w:rPr>
                <w:rFonts w:cs="Arial"/>
                <w:b/>
                <w:kern w:val="0"/>
                <w:sz w:val="30"/>
                <w:szCs w:val="30"/>
              </w:rPr>
            </w:pPr>
          </w:p>
          <w:p>
            <w:pPr>
              <w:tabs>
                <w:tab w:val="left" w:pos="4185"/>
              </w:tabs>
              <w:snapToGrid w:val="0"/>
              <w:jc w:val="center"/>
              <w:rPr>
                <w:rFonts w:cs="Arial"/>
                <w:b/>
                <w:kern w:val="0"/>
                <w:sz w:val="30"/>
                <w:szCs w:val="30"/>
              </w:rPr>
            </w:pPr>
            <w:r>
              <w:rPr>
                <w:rFonts w:hint="eastAsia" w:cs="Arial"/>
                <w:b/>
                <w:kern w:val="0"/>
                <w:sz w:val="30"/>
                <w:szCs w:val="30"/>
              </w:rPr>
              <w:t>学术职务及其他重要社会兼职</w:t>
            </w:r>
          </w:p>
          <w:p>
            <w:pPr>
              <w:spacing w:line="360" w:lineRule="auto"/>
              <w:ind w:firstLine="360" w:firstLineChars="150"/>
              <w:rPr>
                <w:rFonts w:ascii="楷体_GB2312" w:hAnsi="宋体" w:eastAsia="楷体_GB2312"/>
                <w:sz w:val="24"/>
              </w:rPr>
            </w:pPr>
          </w:p>
          <w:p>
            <w:pPr>
              <w:spacing w:line="360" w:lineRule="auto"/>
              <w:ind w:firstLine="360" w:firstLineChars="150"/>
              <w:rPr>
                <w:rFonts w:ascii="楷体_GB2312" w:hAnsi="宋体" w:eastAsia="楷体_GB2312"/>
                <w:sz w:val="24"/>
              </w:rPr>
            </w:pPr>
            <w:r>
              <w:rPr>
                <w:rFonts w:hint="eastAsia" w:ascii="楷体_GB2312" w:hAnsi="宋体" w:eastAsia="楷体_GB2312"/>
                <w:sz w:val="24"/>
              </w:rPr>
              <w:t>1.</w:t>
            </w:r>
            <w:r>
              <w:rPr>
                <w:rFonts w:ascii="楷体_GB2312" w:hAnsi="宋体" w:eastAsia="楷体_GB2312"/>
                <w:sz w:val="24"/>
              </w:rPr>
              <w:t xml:space="preserve"> </w:t>
            </w:r>
            <w:r>
              <w:rPr>
                <w:rFonts w:hint="eastAsia" w:ascii="楷体_GB2312" w:hAnsi="宋体" w:eastAsia="楷体_GB2312"/>
                <w:sz w:val="24"/>
              </w:rPr>
              <w:t>中国</w:t>
            </w:r>
            <w:r>
              <w:rPr>
                <w:rFonts w:ascii="楷体_GB2312" w:hAnsi="宋体" w:eastAsia="楷体_GB2312"/>
                <w:sz w:val="24"/>
              </w:rPr>
              <w:t>法治现代化研究院区域法治发展研究所副所长</w:t>
            </w:r>
            <w:r>
              <w:rPr>
                <w:rFonts w:hint="eastAsia" w:ascii="楷体_GB2312" w:hAnsi="宋体" w:eastAsia="楷体_GB2312"/>
                <w:sz w:val="24"/>
              </w:rPr>
              <w:t>；</w:t>
            </w:r>
          </w:p>
          <w:p>
            <w:pPr>
              <w:spacing w:line="360" w:lineRule="auto"/>
              <w:ind w:firstLine="360" w:firstLineChars="150"/>
              <w:rPr>
                <w:rFonts w:ascii="楷体_GB2312" w:hAnsi="宋体" w:eastAsia="楷体_GB2312"/>
                <w:sz w:val="24"/>
              </w:rPr>
            </w:pPr>
            <w:r>
              <w:rPr>
                <w:rFonts w:hint="eastAsia" w:ascii="楷体_GB2312" w:hAnsi="宋体" w:eastAsia="楷体_GB2312"/>
                <w:sz w:val="24"/>
              </w:rPr>
              <w:t>2.</w:t>
            </w:r>
            <w:r>
              <w:rPr>
                <w:rFonts w:ascii="楷体_GB2312" w:hAnsi="宋体" w:eastAsia="楷体_GB2312"/>
                <w:sz w:val="24"/>
              </w:rPr>
              <w:t xml:space="preserve"> </w:t>
            </w:r>
            <w:r>
              <w:rPr>
                <w:rFonts w:hint="eastAsia" w:ascii="楷体_GB2312" w:hAnsi="宋体" w:eastAsia="楷体_GB2312"/>
                <w:sz w:val="24"/>
              </w:rPr>
              <w:t>江苏</w:t>
            </w:r>
            <w:r>
              <w:rPr>
                <w:rFonts w:ascii="楷体_GB2312" w:hAnsi="宋体" w:eastAsia="楷体_GB2312"/>
                <w:sz w:val="24"/>
              </w:rPr>
              <w:t>省法学会</w:t>
            </w:r>
            <w:r>
              <w:rPr>
                <w:rFonts w:hint="eastAsia" w:ascii="楷体_GB2312" w:hAnsi="宋体" w:eastAsia="楷体_GB2312"/>
                <w:sz w:val="24"/>
              </w:rPr>
              <w:t>经济法学</w:t>
            </w:r>
            <w:r>
              <w:rPr>
                <w:rFonts w:ascii="楷体_GB2312" w:hAnsi="宋体" w:eastAsia="楷体_GB2312"/>
                <w:sz w:val="24"/>
              </w:rPr>
              <w:t>研究会秘书长</w:t>
            </w:r>
            <w:r>
              <w:rPr>
                <w:rFonts w:hint="eastAsia" w:ascii="楷体_GB2312" w:hAnsi="宋体" w:eastAsia="楷体_GB2312"/>
                <w:sz w:val="24"/>
              </w:rPr>
              <w:t>；</w:t>
            </w:r>
          </w:p>
          <w:p>
            <w:pPr>
              <w:spacing w:line="360" w:lineRule="auto"/>
              <w:ind w:firstLine="360" w:firstLineChars="150"/>
              <w:rPr>
                <w:rFonts w:ascii="楷体_GB2312" w:hAnsi="宋体" w:eastAsia="楷体_GB2312"/>
                <w:sz w:val="24"/>
              </w:rPr>
            </w:pPr>
            <w:r>
              <w:rPr>
                <w:rFonts w:ascii="楷体_GB2312" w:hAnsi="宋体" w:eastAsia="楷体_GB2312"/>
                <w:sz w:val="24"/>
              </w:rPr>
              <w:t>3</w:t>
            </w:r>
            <w:r>
              <w:rPr>
                <w:rFonts w:hint="eastAsia" w:ascii="楷体_GB2312" w:hAnsi="宋体" w:eastAsia="楷体_GB2312"/>
                <w:sz w:val="24"/>
              </w:rPr>
              <w:t>.</w:t>
            </w:r>
            <w:r>
              <w:rPr>
                <w:rFonts w:ascii="楷体_GB2312" w:hAnsi="宋体" w:eastAsia="楷体_GB2312"/>
                <w:sz w:val="24"/>
              </w:rPr>
              <w:t xml:space="preserve"> </w:t>
            </w:r>
            <w:r>
              <w:rPr>
                <w:rFonts w:hint="eastAsia" w:ascii="楷体_GB2312" w:hAnsi="宋体" w:eastAsia="楷体_GB2312"/>
                <w:sz w:val="24"/>
              </w:rPr>
              <w:t>南京市统计学会法制委员会委员。</w:t>
            </w:r>
          </w:p>
          <w:p>
            <w:pPr>
              <w:tabs>
                <w:tab w:val="left" w:pos="4185"/>
              </w:tabs>
              <w:snapToGrid w:val="0"/>
              <w:jc w:val="left"/>
              <w:rPr>
                <w:rFonts w:cs="Arial"/>
                <w:kern w:val="0"/>
                <w:sz w:val="32"/>
                <w:szCs w:val="32"/>
              </w:rPr>
            </w:pPr>
          </w:p>
          <w:p>
            <w:pPr>
              <w:tabs>
                <w:tab w:val="left" w:pos="4185"/>
              </w:tabs>
              <w:snapToGrid w:val="0"/>
              <w:jc w:val="left"/>
              <w:rPr>
                <w:rFonts w:cs="Arial"/>
                <w:kern w:val="0"/>
                <w:sz w:val="32"/>
                <w:szCs w:val="32"/>
              </w:rPr>
            </w:pPr>
          </w:p>
        </w:tc>
      </w:tr>
    </w:tbl>
    <w:p>
      <w:pPr>
        <w:rPr>
          <w:vanish/>
        </w:rPr>
      </w:pPr>
    </w:p>
    <w:p>
      <w:pPr>
        <w:rPr>
          <w:szCs w:val="21"/>
        </w:rPr>
      </w:pP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12</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44"/>
    <w:rsid w:val="00015C08"/>
    <w:rsid w:val="00021760"/>
    <w:rsid w:val="00025E33"/>
    <w:rsid w:val="0002782A"/>
    <w:rsid w:val="000366B4"/>
    <w:rsid w:val="000436DC"/>
    <w:rsid w:val="00055B29"/>
    <w:rsid w:val="00057477"/>
    <w:rsid w:val="000660B3"/>
    <w:rsid w:val="000722C5"/>
    <w:rsid w:val="00080FE8"/>
    <w:rsid w:val="00081D77"/>
    <w:rsid w:val="00090BD6"/>
    <w:rsid w:val="000D6B7A"/>
    <w:rsid w:val="0010226E"/>
    <w:rsid w:val="00115AFD"/>
    <w:rsid w:val="00136D15"/>
    <w:rsid w:val="0016421F"/>
    <w:rsid w:val="00165AF7"/>
    <w:rsid w:val="00187DBD"/>
    <w:rsid w:val="00191FEA"/>
    <w:rsid w:val="001B5C13"/>
    <w:rsid w:val="001F0E29"/>
    <w:rsid w:val="001F3B9C"/>
    <w:rsid w:val="00207D31"/>
    <w:rsid w:val="00232F40"/>
    <w:rsid w:val="00243038"/>
    <w:rsid w:val="00280433"/>
    <w:rsid w:val="00285CE8"/>
    <w:rsid w:val="002D451A"/>
    <w:rsid w:val="002D5697"/>
    <w:rsid w:val="002E6DB9"/>
    <w:rsid w:val="00307E29"/>
    <w:rsid w:val="0031054D"/>
    <w:rsid w:val="003351B9"/>
    <w:rsid w:val="00345A50"/>
    <w:rsid w:val="00361CFA"/>
    <w:rsid w:val="00370876"/>
    <w:rsid w:val="00377B29"/>
    <w:rsid w:val="003921D9"/>
    <w:rsid w:val="003A0D7A"/>
    <w:rsid w:val="003A3354"/>
    <w:rsid w:val="003A4C5D"/>
    <w:rsid w:val="003B2447"/>
    <w:rsid w:val="003C4C45"/>
    <w:rsid w:val="003C7704"/>
    <w:rsid w:val="003D68C9"/>
    <w:rsid w:val="003F0112"/>
    <w:rsid w:val="00400746"/>
    <w:rsid w:val="004031C0"/>
    <w:rsid w:val="004321F4"/>
    <w:rsid w:val="00444468"/>
    <w:rsid w:val="004563A6"/>
    <w:rsid w:val="004571ED"/>
    <w:rsid w:val="00462A7F"/>
    <w:rsid w:val="00464DF4"/>
    <w:rsid w:val="004828A8"/>
    <w:rsid w:val="004977DB"/>
    <w:rsid w:val="004A5A8C"/>
    <w:rsid w:val="004A6043"/>
    <w:rsid w:val="004B4D5A"/>
    <w:rsid w:val="004B6A89"/>
    <w:rsid w:val="004E78A5"/>
    <w:rsid w:val="004F773E"/>
    <w:rsid w:val="005439A2"/>
    <w:rsid w:val="00575DE7"/>
    <w:rsid w:val="00576302"/>
    <w:rsid w:val="005916F8"/>
    <w:rsid w:val="005C5D05"/>
    <w:rsid w:val="0062245B"/>
    <w:rsid w:val="006725F5"/>
    <w:rsid w:val="00675B98"/>
    <w:rsid w:val="00677D71"/>
    <w:rsid w:val="006902E1"/>
    <w:rsid w:val="00690D34"/>
    <w:rsid w:val="006A0944"/>
    <w:rsid w:val="006A7388"/>
    <w:rsid w:val="006C4EA1"/>
    <w:rsid w:val="006E60E7"/>
    <w:rsid w:val="00700256"/>
    <w:rsid w:val="00721782"/>
    <w:rsid w:val="00725AA0"/>
    <w:rsid w:val="007310B9"/>
    <w:rsid w:val="007444E3"/>
    <w:rsid w:val="007467D0"/>
    <w:rsid w:val="0075412B"/>
    <w:rsid w:val="007A249E"/>
    <w:rsid w:val="007E250E"/>
    <w:rsid w:val="007E38C0"/>
    <w:rsid w:val="007F051C"/>
    <w:rsid w:val="008154A7"/>
    <w:rsid w:val="00816D9D"/>
    <w:rsid w:val="00822FB7"/>
    <w:rsid w:val="00830322"/>
    <w:rsid w:val="00836B39"/>
    <w:rsid w:val="008429CF"/>
    <w:rsid w:val="00851400"/>
    <w:rsid w:val="0085594A"/>
    <w:rsid w:val="008566F7"/>
    <w:rsid w:val="008A6E23"/>
    <w:rsid w:val="008F276F"/>
    <w:rsid w:val="009069BE"/>
    <w:rsid w:val="00917F73"/>
    <w:rsid w:val="00922561"/>
    <w:rsid w:val="00926C12"/>
    <w:rsid w:val="0093273B"/>
    <w:rsid w:val="00932812"/>
    <w:rsid w:val="009406DD"/>
    <w:rsid w:val="0097032B"/>
    <w:rsid w:val="00972548"/>
    <w:rsid w:val="009A2323"/>
    <w:rsid w:val="009E4E4A"/>
    <w:rsid w:val="009E5CE1"/>
    <w:rsid w:val="009E6293"/>
    <w:rsid w:val="00A14FD5"/>
    <w:rsid w:val="00A2138F"/>
    <w:rsid w:val="00A21AF6"/>
    <w:rsid w:val="00A37DB0"/>
    <w:rsid w:val="00A424A9"/>
    <w:rsid w:val="00A90132"/>
    <w:rsid w:val="00A92036"/>
    <w:rsid w:val="00AA276E"/>
    <w:rsid w:val="00AE17DE"/>
    <w:rsid w:val="00B05E1B"/>
    <w:rsid w:val="00B13254"/>
    <w:rsid w:val="00B33812"/>
    <w:rsid w:val="00B86961"/>
    <w:rsid w:val="00B86BC7"/>
    <w:rsid w:val="00C1334A"/>
    <w:rsid w:val="00C63700"/>
    <w:rsid w:val="00C67686"/>
    <w:rsid w:val="00C876B2"/>
    <w:rsid w:val="00C968C4"/>
    <w:rsid w:val="00CA063C"/>
    <w:rsid w:val="00CD259A"/>
    <w:rsid w:val="00CE669C"/>
    <w:rsid w:val="00CF2FAA"/>
    <w:rsid w:val="00D11884"/>
    <w:rsid w:val="00D13C9B"/>
    <w:rsid w:val="00D15D8A"/>
    <w:rsid w:val="00D26CDD"/>
    <w:rsid w:val="00D72E40"/>
    <w:rsid w:val="00D81116"/>
    <w:rsid w:val="00D8758E"/>
    <w:rsid w:val="00D94D08"/>
    <w:rsid w:val="00D9503B"/>
    <w:rsid w:val="00D96A32"/>
    <w:rsid w:val="00D979F7"/>
    <w:rsid w:val="00DC417E"/>
    <w:rsid w:val="00DD0611"/>
    <w:rsid w:val="00E11AC0"/>
    <w:rsid w:val="00E179D2"/>
    <w:rsid w:val="00E43B83"/>
    <w:rsid w:val="00E5586C"/>
    <w:rsid w:val="00E64F5F"/>
    <w:rsid w:val="00E66EED"/>
    <w:rsid w:val="00E71077"/>
    <w:rsid w:val="00E714AB"/>
    <w:rsid w:val="00E80B4C"/>
    <w:rsid w:val="00E85E10"/>
    <w:rsid w:val="00EB0896"/>
    <w:rsid w:val="00EE102D"/>
    <w:rsid w:val="00EE45FB"/>
    <w:rsid w:val="00EF5680"/>
    <w:rsid w:val="00F01EE1"/>
    <w:rsid w:val="00F16A31"/>
    <w:rsid w:val="00F43358"/>
    <w:rsid w:val="00F5702F"/>
    <w:rsid w:val="00F7674C"/>
    <w:rsid w:val="00F85FE8"/>
    <w:rsid w:val="00FD3E29"/>
    <w:rsid w:val="00FD4AEB"/>
    <w:rsid w:val="00FD6ADE"/>
    <w:rsid w:val="00FD6D90"/>
    <w:rsid w:val="00FD78F4"/>
    <w:rsid w:val="07651F4A"/>
    <w:rsid w:val="7B26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仿宋_GB2312"/>
      <w:color w:val="000000"/>
      <w:kern w:val="0"/>
      <w:sz w:val="24"/>
      <w:szCs w:val="21"/>
    </w:rPr>
  </w:style>
  <w:style w:type="paragraph" w:styleId="7">
    <w:name w:val="annotation subject"/>
    <w:basedOn w:val="2"/>
    <w:next w:val="2"/>
    <w:link w:val="17"/>
    <w:semiHidden/>
    <w:unhideWhenUsed/>
    <w:uiPriority w:val="99"/>
    <w:rPr>
      <w:b/>
      <w:bCs/>
    </w:rPr>
  </w:style>
  <w:style w:type="character" w:styleId="10">
    <w:name w:val="Strong"/>
    <w:qFormat/>
    <w:uiPriority w:val="0"/>
    <w:rPr>
      <w:b/>
      <w:bCs/>
    </w:rPr>
  </w:style>
  <w:style w:type="character" w:styleId="11">
    <w:name w:val="Hyperlink"/>
    <w:uiPriority w:val="0"/>
    <w:rPr>
      <w:color w:val="333333"/>
      <w:sz w:val="18"/>
      <w:szCs w:val="18"/>
      <w:u w:val="none"/>
    </w:rPr>
  </w:style>
  <w:style w:type="character" w:styleId="12">
    <w:name w:val="annotation reference"/>
    <w:semiHidden/>
    <w:unhideWhenUsed/>
    <w:uiPriority w:val="99"/>
    <w:rPr>
      <w:sz w:val="21"/>
      <w:szCs w:val="21"/>
    </w:rPr>
  </w:style>
  <w:style w:type="character" w:customStyle="1" w:styleId="13">
    <w:name w:val="页眉 Char"/>
    <w:link w:val="5"/>
    <w:uiPriority w:val="99"/>
    <w:rPr>
      <w:rFonts w:ascii="Times New Roman" w:hAnsi="Times New Roman"/>
      <w:kern w:val="2"/>
      <w:sz w:val="18"/>
      <w:szCs w:val="18"/>
    </w:rPr>
  </w:style>
  <w:style w:type="character" w:customStyle="1" w:styleId="14">
    <w:name w:val="页脚 Char"/>
    <w:link w:val="4"/>
    <w:uiPriority w:val="99"/>
    <w:rPr>
      <w:rFonts w:ascii="Times New Roman" w:hAnsi="Times New Roman"/>
      <w:kern w:val="2"/>
      <w:sz w:val="18"/>
      <w:szCs w:val="18"/>
    </w:rPr>
  </w:style>
  <w:style w:type="character" w:customStyle="1" w:styleId="15">
    <w:name w:val="批注框文本 Char"/>
    <w:link w:val="3"/>
    <w:semiHidden/>
    <w:uiPriority w:val="99"/>
    <w:rPr>
      <w:rFonts w:ascii="Times New Roman" w:hAnsi="Times New Roman"/>
      <w:kern w:val="2"/>
      <w:sz w:val="18"/>
      <w:szCs w:val="18"/>
    </w:rPr>
  </w:style>
  <w:style w:type="character" w:customStyle="1" w:styleId="16">
    <w:name w:val="批注文字 Char"/>
    <w:link w:val="2"/>
    <w:semiHidden/>
    <w:uiPriority w:val="99"/>
    <w:rPr>
      <w:rFonts w:ascii="Times New Roman" w:hAnsi="Times New Roman"/>
      <w:kern w:val="2"/>
      <w:sz w:val="21"/>
      <w:szCs w:val="24"/>
    </w:rPr>
  </w:style>
  <w:style w:type="character" w:customStyle="1" w:styleId="17">
    <w:name w:val="批注主题 Char"/>
    <w:link w:val="7"/>
    <w:semiHidden/>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33C81-56A3-4A07-8C8A-AA45D5E7C3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870</Words>
  <Characters>4959</Characters>
  <Lines>41</Lines>
  <Paragraphs>11</Paragraphs>
  <TotalTime>5</TotalTime>
  <ScaleCrop>false</ScaleCrop>
  <LinksUpToDate>false</LinksUpToDate>
  <CharactersWithSpaces>5818</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2019-07-09T07:13:00Z</dcterms:created>
  <dc:creator>1412-112</dc:creator>
  <cp:lastModifiedBy>mouse^V^</cp:lastModifiedBy>
  <cp:lastPrinted>2019-05-20T04:44:00Z</cp:lastPrinted>
  <dcterms:modified xsi:type="dcterms:W3CDTF">2019-07-24T02:46:12Z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