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40" w:lineRule="exact"/>
        <w:rPr>
          <w:rFonts w:hint="eastAsia" w:ascii="仿宋_GB2312" w:hAnsi="宋体" w:eastAsia="仿宋_GB2312"/>
          <w:bCs/>
          <w:color w:val="000000"/>
          <w:kern w:val="0"/>
          <w:sz w:val="32"/>
          <w:szCs w:val="32"/>
        </w:rPr>
      </w:pPr>
      <w:r>
        <w:rPr>
          <w:rFonts w:hint="eastAsia" w:ascii="仿宋" w:hAnsi="仿宋" w:eastAsia="仿宋" w:cs="Arial"/>
          <w:kern w:val="0"/>
          <w:sz w:val="32"/>
          <w:szCs w:val="32"/>
        </w:rPr>
        <w:t>附件2：</w:t>
      </w:r>
    </w:p>
    <w:p>
      <w:pPr>
        <w:jc w:val="center"/>
        <w:rPr>
          <w:rFonts w:hint="eastAsia" w:ascii="宋体" w:hAnsi="宋体"/>
          <w:b/>
          <w:bCs/>
          <w:sz w:val="32"/>
          <w:szCs w:val="32"/>
        </w:rPr>
      </w:pPr>
    </w:p>
    <w:p>
      <w:pPr>
        <w:jc w:val="center"/>
        <w:rPr>
          <w:rFonts w:hint="eastAsia"/>
        </w:rPr>
      </w:pPr>
    </w:p>
    <w:p>
      <w:pPr>
        <w:jc w:val="center"/>
        <w:rPr>
          <w:rFonts w:hint="eastAsia"/>
        </w:rPr>
      </w:pPr>
      <w:r>
        <w:drawing>
          <wp:inline distT="0" distB="0" distL="0" distR="0">
            <wp:extent cx="1483995" cy="1428750"/>
            <wp:effectExtent l="0" t="0" r="190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83995" cy="1428750"/>
                    </a:xfrm>
                    <a:prstGeom prst="rect">
                      <a:avLst/>
                    </a:prstGeom>
                    <a:noFill/>
                    <a:ln>
                      <a:noFill/>
                    </a:ln>
                  </pic:spPr>
                </pic:pic>
              </a:graphicData>
            </a:graphic>
          </wp:inline>
        </w:drawing>
      </w:r>
    </w:p>
    <w:p>
      <w:pPr>
        <w:rPr>
          <w:rFonts w:hint="eastAsia"/>
        </w:rPr>
      </w:pPr>
    </w:p>
    <w:p>
      <w:pPr>
        <w:rPr>
          <w:rFonts w:hint="eastAsia"/>
        </w:rPr>
      </w:pPr>
    </w:p>
    <w:p>
      <w:pPr>
        <w:rPr>
          <w:rFonts w:hint="eastAsia"/>
        </w:rPr>
      </w:pPr>
    </w:p>
    <w:p>
      <w:pPr>
        <w:spacing w:line="700" w:lineRule="exact"/>
        <w:jc w:val="center"/>
        <w:rPr>
          <w:rFonts w:hint="eastAsia" w:ascii="方正小标宋_GBK" w:eastAsia="方正小标宋_GBK"/>
          <w:b/>
          <w:bCs/>
          <w:sz w:val="44"/>
          <w:szCs w:val="44"/>
        </w:rPr>
      </w:pPr>
      <w:r>
        <w:rPr>
          <w:rFonts w:hint="eastAsia" w:ascii="方正小标宋_GBK" w:eastAsia="方正小标宋_GBK"/>
          <w:b/>
          <w:bCs/>
          <w:sz w:val="44"/>
          <w:szCs w:val="44"/>
        </w:rPr>
        <w:t>第九届“全国杰出青年法学家”</w:t>
      </w:r>
    </w:p>
    <w:p>
      <w:pPr>
        <w:spacing w:line="700" w:lineRule="exact"/>
        <w:jc w:val="center"/>
        <w:rPr>
          <w:rFonts w:hint="eastAsia" w:ascii="方正小标宋_GBK" w:eastAsia="方正小标宋_GBK"/>
          <w:b/>
          <w:bCs/>
          <w:sz w:val="44"/>
          <w:szCs w:val="44"/>
        </w:rPr>
      </w:pPr>
      <w:r>
        <w:rPr>
          <w:rFonts w:hint="eastAsia" w:ascii="方正小标宋_GBK" w:eastAsia="方正小标宋_GBK"/>
          <w:b/>
          <w:bCs/>
          <w:sz w:val="44"/>
          <w:szCs w:val="44"/>
        </w:rPr>
        <w:t xml:space="preserve"> </w:t>
      </w:r>
      <w:r>
        <w:rPr>
          <w:rFonts w:ascii="方正小标宋_GBK" w:eastAsia="方正小标宋_GBK"/>
          <w:b/>
          <w:bCs/>
          <w:sz w:val="44"/>
          <w:szCs w:val="44"/>
        </w:rPr>
        <w:t xml:space="preserve">    </w:t>
      </w:r>
      <w:r>
        <w:rPr>
          <w:rFonts w:hint="eastAsia" w:ascii="方正小标宋_GBK" w:eastAsia="方正小标宋_GBK"/>
          <w:b/>
          <w:bCs/>
          <w:sz w:val="44"/>
          <w:szCs w:val="44"/>
        </w:rPr>
        <w:t>推荐表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ind w:firstLine="643" w:firstLineChars="200"/>
        <w:rPr>
          <w:rFonts w:hint="eastAsia" w:eastAsia="仿宋_GB2312"/>
          <w:b/>
          <w:bCs/>
          <w:sz w:val="32"/>
          <w:szCs w:val="32"/>
          <w:u w:val="single"/>
        </w:rPr>
      </w:pPr>
      <w:r>
        <w:rPr>
          <w:rFonts w:hint="eastAsia" w:eastAsia="仿宋_GB2312"/>
          <w:b/>
          <w:bCs/>
          <w:sz w:val="32"/>
          <w:szCs w:val="32"/>
        </w:rPr>
        <w:t>姓    名</w:t>
      </w:r>
      <w:r>
        <w:rPr>
          <w:rFonts w:hint="eastAsia" w:eastAsia="仿宋_GB2312"/>
          <w:b/>
          <w:bCs/>
          <w:sz w:val="32"/>
          <w:szCs w:val="32"/>
          <w:u w:val="single"/>
        </w:rPr>
        <w:t xml:space="preserve">          </w:t>
      </w:r>
      <w:r>
        <w:rPr>
          <w:rFonts w:eastAsia="仿宋_GB2312"/>
          <w:b/>
          <w:bCs/>
          <w:sz w:val="32"/>
          <w:szCs w:val="32"/>
          <w:u w:val="single"/>
        </w:rPr>
        <w:t xml:space="preserve">       </w:t>
      </w:r>
      <w:r>
        <w:rPr>
          <w:rFonts w:hint="eastAsia" w:eastAsia="仿宋_GB2312"/>
          <w:b/>
          <w:bCs/>
          <w:sz w:val="32"/>
          <w:szCs w:val="32"/>
          <w:u w:val="single"/>
        </w:rPr>
        <w:t xml:space="preserve">张力                </w:t>
      </w:r>
      <w:r>
        <w:rPr>
          <w:rFonts w:eastAsia="仿宋_GB2312"/>
          <w:b/>
          <w:bCs/>
          <w:sz w:val="32"/>
          <w:szCs w:val="32"/>
          <w:u w:val="single"/>
        </w:rPr>
        <w:t xml:space="preserve"> </w:t>
      </w:r>
    </w:p>
    <w:p>
      <w:pPr>
        <w:snapToGrid w:val="0"/>
        <w:rPr>
          <w:rFonts w:hint="eastAsia" w:eastAsia="仿宋_GB2312"/>
          <w:b/>
          <w:bCs/>
          <w:sz w:val="28"/>
          <w:szCs w:val="28"/>
          <w:u w:val="single"/>
        </w:rPr>
      </w:pPr>
    </w:p>
    <w:p>
      <w:pPr>
        <w:snapToGrid w:val="0"/>
        <w:ind w:firstLine="643" w:firstLineChars="200"/>
        <w:rPr>
          <w:rFonts w:hint="eastAsia" w:eastAsia="仿宋_GB2312"/>
          <w:b/>
          <w:bCs/>
          <w:sz w:val="32"/>
          <w:szCs w:val="32"/>
          <w:u w:val="single"/>
        </w:rPr>
      </w:pPr>
      <w:r>
        <w:rPr>
          <w:rFonts w:hint="eastAsia" w:eastAsia="仿宋_GB2312"/>
          <w:b/>
          <w:bCs/>
          <w:sz w:val="32"/>
          <w:szCs w:val="32"/>
        </w:rPr>
        <w:t>工作单位</w:t>
      </w:r>
      <w:r>
        <w:rPr>
          <w:rFonts w:hint="eastAsia" w:eastAsia="仿宋_GB2312"/>
          <w:b/>
          <w:bCs/>
          <w:sz w:val="32"/>
          <w:szCs w:val="32"/>
          <w:u w:val="single"/>
        </w:rPr>
        <w:t xml:space="preserve">             西南政法大学            </w:t>
      </w:r>
      <w:r>
        <w:rPr>
          <w:rFonts w:eastAsia="仿宋_GB2312"/>
          <w:b/>
          <w:bCs/>
          <w:sz w:val="32"/>
          <w:szCs w:val="32"/>
          <w:u w:val="single"/>
        </w:rPr>
        <w:t xml:space="preserve"> </w:t>
      </w:r>
    </w:p>
    <w:p>
      <w:pPr>
        <w:snapToGrid w:val="0"/>
        <w:rPr>
          <w:rFonts w:hint="eastAsia" w:eastAsia="仿宋_GB2312"/>
          <w:b/>
          <w:bCs/>
          <w:sz w:val="28"/>
          <w:szCs w:val="28"/>
          <w:u w:val="single"/>
        </w:rPr>
      </w:pPr>
    </w:p>
    <w:p>
      <w:pPr>
        <w:snapToGrid w:val="0"/>
        <w:ind w:firstLine="643" w:firstLineChars="200"/>
        <w:rPr>
          <w:rFonts w:hint="default" w:eastAsia="仿宋_GB2312"/>
          <w:b/>
          <w:bCs/>
          <w:sz w:val="32"/>
          <w:szCs w:val="32"/>
          <w:u w:val="single"/>
          <w:lang w:val="en-US" w:eastAsia="zh-CN"/>
        </w:rPr>
      </w:pPr>
      <w:r>
        <w:rPr>
          <w:rFonts w:hint="eastAsia" w:eastAsia="仿宋_GB2312"/>
          <w:b/>
          <w:bCs/>
          <w:sz w:val="32"/>
          <w:szCs w:val="32"/>
        </w:rPr>
        <w:t>推荐单位</w:t>
      </w:r>
      <w:r>
        <w:rPr>
          <w:rFonts w:hint="eastAsia" w:eastAsia="仿宋_GB2312"/>
          <w:b/>
          <w:bCs/>
          <w:sz w:val="32"/>
          <w:szCs w:val="32"/>
          <w:u w:val="single"/>
        </w:rPr>
        <w:t xml:space="preserve"> </w:t>
      </w:r>
      <w:r>
        <w:rPr>
          <w:rFonts w:hint="eastAsia" w:eastAsia="仿宋_GB2312"/>
          <w:b/>
          <w:bCs/>
          <w:sz w:val="32"/>
          <w:szCs w:val="32"/>
          <w:u w:val="single"/>
          <w:lang w:val="en-US" w:eastAsia="zh-CN"/>
        </w:rPr>
        <w:t xml:space="preserve">     </w:t>
      </w:r>
      <w:r>
        <w:rPr>
          <w:rFonts w:hint="eastAsia" w:eastAsia="仿宋_GB2312"/>
          <w:b/>
          <w:bCs/>
          <w:sz w:val="32"/>
          <w:szCs w:val="32"/>
          <w:u w:val="single"/>
        </w:rPr>
        <w:t>中国法学会婚姻家庭法学研究会</w:t>
      </w:r>
      <w:r>
        <w:rPr>
          <w:rFonts w:hint="eastAsia" w:eastAsia="仿宋_GB2312"/>
          <w:b/>
          <w:bCs/>
          <w:sz w:val="32"/>
          <w:szCs w:val="32"/>
          <w:u w:val="single"/>
          <w:lang w:val="en-US" w:eastAsia="zh-CN"/>
        </w:rPr>
        <w:t xml:space="preserve">         </w:t>
      </w:r>
    </w:p>
    <w:p>
      <w:pPr>
        <w:snapToGrid w:val="0"/>
        <w:rPr>
          <w:rFonts w:hint="eastAsia" w:eastAsia="仿宋_GB2312"/>
          <w:b/>
          <w:bCs/>
          <w:szCs w:val="21"/>
          <w:u w:val="single"/>
        </w:rPr>
      </w:pPr>
    </w:p>
    <w:p>
      <w:pPr>
        <w:snapToGrid w:val="0"/>
        <w:rPr>
          <w:rFonts w:hint="eastAsia" w:eastAsia="仿宋_GB2312"/>
          <w:b/>
          <w:bCs/>
          <w:szCs w:val="21"/>
          <w:u w:val="single"/>
        </w:rPr>
      </w:pPr>
    </w:p>
    <w:p>
      <w:pPr>
        <w:snapToGrid w:val="0"/>
        <w:rPr>
          <w:rFonts w:hint="eastAsia" w:eastAsia="仿宋_GB2312"/>
          <w:b/>
          <w:bCs/>
          <w:szCs w:val="21"/>
          <w:u w:val="single"/>
        </w:rPr>
      </w:pPr>
    </w:p>
    <w:p>
      <w:pPr>
        <w:snapToGrid w:val="0"/>
        <w:rPr>
          <w:rFonts w:hint="eastAsia" w:eastAsia="仿宋_GB2312"/>
          <w:b/>
          <w:bCs/>
          <w:szCs w:val="21"/>
          <w:u w:val="single"/>
        </w:rPr>
      </w:pPr>
    </w:p>
    <w:p>
      <w:pPr>
        <w:snapToGrid w:val="0"/>
        <w:rPr>
          <w:rFonts w:hint="eastAsia" w:eastAsia="仿宋_GB2312"/>
          <w:b/>
          <w:bCs/>
          <w:szCs w:val="21"/>
          <w:u w:val="single"/>
        </w:rPr>
      </w:pPr>
    </w:p>
    <w:p>
      <w:pPr>
        <w:snapToGrid w:val="0"/>
        <w:rPr>
          <w:rFonts w:hint="eastAsia" w:eastAsia="仿宋_GB2312"/>
          <w:b/>
          <w:bCs/>
          <w:szCs w:val="21"/>
          <w:u w:val="single"/>
        </w:rPr>
      </w:pPr>
    </w:p>
    <w:p>
      <w:pPr>
        <w:snapToGrid w:val="0"/>
        <w:rPr>
          <w:rFonts w:hint="eastAsia" w:eastAsia="仿宋_GB2312"/>
          <w:b/>
          <w:bCs/>
          <w:szCs w:val="21"/>
          <w:u w:val="single"/>
        </w:rPr>
      </w:pPr>
    </w:p>
    <w:p>
      <w:pPr>
        <w:jc w:val="center"/>
        <w:rPr>
          <w:rFonts w:ascii="宋体" w:hAnsi="Arial Narrow"/>
          <w:sz w:val="32"/>
          <w:szCs w:val="32"/>
        </w:rPr>
      </w:pPr>
      <w:r>
        <w:rPr>
          <w:rFonts w:hint="eastAsia" w:ascii="宋体" w:hAnsi="Arial Narrow"/>
          <w:sz w:val="32"/>
          <w:szCs w:val="32"/>
        </w:rPr>
        <w:t>中国法学会</w:t>
      </w:r>
    </w:p>
    <w:p>
      <w:pPr>
        <w:snapToGrid w:val="0"/>
        <w:jc w:val="center"/>
        <w:rPr>
          <w:rFonts w:hint="eastAsia" w:eastAsia="仿宋_GB2312"/>
          <w:b/>
          <w:bCs/>
          <w:szCs w:val="21"/>
          <w:u w:val="single"/>
        </w:rPr>
      </w:pPr>
      <w:r>
        <w:rPr>
          <w:rFonts w:hint="eastAsia" w:ascii="宋体" w:hAnsi="Arial Narrow"/>
          <w:sz w:val="32"/>
          <w:szCs w:val="32"/>
        </w:rPr>
        <w:t>2019年5月印制</w:t>
      </w:r>
    </w:p>
    <w:p>
      <w:pPr>
        <w:snapToGrid w:val="0"/>
        <w:rPr>
          <w:rFonts w:hint="eastAsia" w:eastAsia="仿宋_GB2312"/>
          <w:szCs w:val="21"/>
        </w:rPr>
      </w:pPr>
    </w:p>
    <w:p>
      <w:pPr>
        <w:spacing w:line="440" w:lineRule="exact"/>
        <w:jc w:val="center"/>
        <w:rPr>
          <w:rFonts w:hint="eastAsia" w:ascii="Arial Narrow" w:hAnsi="Arial Narrow"/>
          <w:b/>
          <w:sz w:val="30"/>
        </w:rPr>
      </w:pPr>
    </w:p>
    <w:p>
      <w:pPr>
        <w:spacing w:line="440" w:lineRule="exact"/>
        <w:jc w:val="center"/>
        <w:rPr>
          <w:rFonts w:ascii="仿宋" w:hAnsi="仿宋" w:eastAsia="仿宋"/>
          <w:b/>
          <w:sz w:val="32"/>
          <w:szCs w:val="32"/>
        </w:rPr>
      </w:pPr>
      <w:r>
        <w:rPr>
          <w:rFonts w:hint="eastAsia" w:ascii="仿宋" w:hAnsi="仿宋" w:eastAsia="仿宋"/>
          <w:b/>
          <w:sz w:val="32"/>
          <w:szCs w:val="32"/>
        </w:rPr>
        <w:t>填</w:t>
      </w:r>
      <w:r>
        <w:rPr>
          <w:rFonts w:ascii="仿宋" w:hAnsi="仿宋" w:eastAsia="仿宋"/>
          <w:b/>
          <w:sz w:val="32"/>
          <w:szCs w:val="32"/>
        </w:rPr>
        <w:t xml:space="preserve">  </w:t>
      </w:r>
      <w:r>
        <w:rPr>
          <w:rFonts w:hint="eastAsia" w:ascii="仿宋" w:hAnsi="仿宋" w:eastAsia="仿宋"/>
          <w:b/>
          <w:sz w:val="32"/>
          <w:szCs w:val="32"/>
        </w:rPr>
        <w:t>表</w:t>
      </w:r>
      <w:r>
        <w:rPr>
          <w:rFonts w:ascii="仿宋" w:hAnsi="仿宋" w:eastAsia="仿宋"/>
          <w:b/>
          <w:sz w:val="32"/>
          <w:szCs w:val="32"/>
        </w:rPr>
        <w:t xml:space="preserve">  </w:t>
      </w:r>
      <w:r>
        <w:rPr>
          <w:rFonts w:hint="eastAsia" w:ascii="仿宋" w:hAnsi="仿宋" w:eastAsia="仿宋"/>
          <w:b/>
          <w:sz w:val="32"/>
          <w:szCs w:val="32"/>
        </w:rPr>
        <w:t>说</w:t>
      </w:r>
      <w:r>
        <w:rPr>
          <w:rFonts w:ascii="仿宋" w:hAnsi="仿宋" w:eastAsia="仿宋"/>
          <w:b/>
          <w:sz w:val="32"/>
          <w:szCs w:val="32"/>
        </w:rPr>
        <w:t xml:space="preserve">  </w:t>
      </w:r>
      <w:r>
        <w:rPr>
          <w:rFonts w:hint="eastAsia" w:ascii="仿宋" w:hAnsi="仿宋" w:eastAsia="仿宋"/>
          <w:b/>
          <w:sz w:val="32"/>
          <w:szCs w:val="32"/>
        </w:rPr>
        <w:t>明</w:t>
      </w:r>
    </w:p>
    <w:p>
      <w:pPr>
        <w:spacing w:line="480" w:lineRule="exact"/>
        <w:ind w:firstLine="560" w:firstLineChars="200"/>
        <w:rPr>
          <w:rFonts w:hint="eastAsia" w:ascii="仿宋" w:hAnsi="仿宋" w:eastAsia="仿宋"/>
          <w:sz w:val="28"/>
          <w:szCs w:val="28"/>
        </w:rPr>
      </w:pP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一、表一为推荐单位或指导推荐人填写，表二为推荐候选人工作单位党委（党组）填写并盖章，表三为推荐候选人工作单位纪检监察部门填写并盖章，表四为推荐单位填写并盖章。</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二、推荐单位需填写推荐评选委员会投票情况、推荐意见（每人500字以内）。</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三、请用计算机填写，可根据实际需要分栏，但勿随意变动格式及字体字号。</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四、请各推荐单位于2019年6月30日之前，将</w:t>
      </w:r>
      <w:r>
        <w:fldChar w:fldCharType="begin"/>
      </w:r>
      <w:r>
        <w:instrText xml:space="preserve"> HYPERLINK "mailto:本表电子版发至邮箱qnfxj2016@126.com" </w:instrText>
      </w:r>
      <w:r>
        <w:fldChar w:fldCharType="separate"/>
      </w:r>
      <w:r>
        <w:rPr>
          <w:rFonts w:hint="eastAsia" w:ascii="仿宋" w:hAnsi="仿宋" w:eastAsia="仿宋"/>
          <w:sz w:val="28"/>
          <w:szCs w:val="28"/>
        </w:rPr>
        <w:t>本表电子版发至指定邮箱</w:t>
      </w:r>
      <w:r>
        <w:rPr>
          <w:rFonts w:hint="eastAsia" w:ascii="仿宋" w:hAnsi="仿宋" w:eastAsia="仿宋"/>
          <w:sz w:val="28"/>
          <w:szCs w:val="28"/>
        </w:rPr>
        <w:fldChar w:fldCharType="end"/>
      </w:r>
      <w:r>
        <w:rPr>
          <w:rFonts w:hint="eastAsia" w:ascii="仿宋" w:hAnsi="仿宋" w:eastAsia="仿宋"/>
          <w:sz w:val="28"/>
          <w:szCs w:val="28"/>
        </w:rPr>
        <w:t>。纸质版以A4纸打印一式四份，连同推荐评选情况报告、推荐候选人身份证复印件、推荐候选人代表性学术专著1—2部（独著）、学术论文3—5篇（独著或第一作者）、重要荣誉证书或证明复印件各一式一份，寄至指定地址。</w:t>
      </w:r>
    </w:p>
    <w:p>
      <w:pPr>
        <w:spacing w:line="560" w:lineRule="exact"/>
        <w:ind w:firstLine="560" w:firstLineChars="200"/>
        <w:rPr>
          <w:rFonts w:hint="eastAsia" w:ascii="仿宋" w:hAnsi="仿宋" w:eastAsia="仿宋"/>
          <w:sz w:val="28"/>
          <w:szCs w:val="28"/>
        </w:rPr>
      </w:pPr>
    </w:p>
    <w:p>
      <w:pPr>
        <w:snapToGrid w:val="0"/>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 系 人：王小红  周  杨  010-66182129  66135703</w:t>
      </w:r>
    </w:p>
    <w:p>
      <w:pPr>
        <w:snapToGrid w:val="0"/>
        <w:spacing w:line="560" w:lineRule="exact"/>
        <w:ind w:firstLine="560" w:firstLineChars="200"/>
        <w:rPr>
          <w:rFonts w:hint="eastAsia" w:ascii="仿宋" w:hAnsi="仿宋" w:eastAsia="仿宋"/>
          <w:color w:val="000000"/>
          <w:spacing w:val="-6"/>
          <w:sz w:val="28"/>
          <w:szCs w:val="28"/>
        </w:rPr>
      </w:pPr>
      <w:r>
        <w:rPr>
          <w:rFonts w:hint="eastAsia" w:ascii="仿宋" w:hAnsi="仿宋" w:eastAsia="仿宋"/>
          <w:color w:val="000000"/>
          <w:sz w:val="28"/>
          <w:szCs w:val="28"/>
        </w:rPr>
        <w:t>邮寄地址：</w:t>
      </w:r>
      <w:r>
        <w:rPr>
          <w:rFonts w:hint="eastAsia" w:ascii="仿宋" w:hAnsi="仿宋" w:eastAsia="仿宋"/>
          <w:color w:val="000000"/>
          <w:spacing w:val="-6"/>
          <w:sz w:val="28"/>
          <w:szCs w:val="28"/>
        </w:rPr>
        <w:t>北京市海淀区皂君庙四号院中国法学会研究部1315室</w:t>
      </w:r>
    </w:p>
    <w:p>
      <w:pPr>
        <w:snapToGrid w:val="0"/>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邮    编：100081</w:t>
      </w:r>
    </w:p>
    <w:p>
      <w:pPr>
        <w:snapToGrid w:val="0"/>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电子邮箱：</w:t>
      </w:r>
      <w:r>
        <w:rPr>
          <w:rFonts w:ascii="仿宋" w:hAnsi="仿宋" w:eastAsia="仿宋"/>
          <w:color w:val="000000"/>
          <w:sz w:val="28"/>
          <w:szCs w:val="28"/>
        </w:rPr>
        <w:t>qnfxj201</w:t>
      </w:r>
      <w:r>
        <w:rPr>
          <w:rFonts w:hint="eastAsia" w:ascii="仿宋" w:hAnsi="仿宋" w:eastAsia="仿宋"/>
          <w:color w:val="000000"/>
          <w:sz w:val="28"/>
          <w:szCs w:val="28"/>
        </w:rPr>
        <w:t>9</w:t>
      </w:r>
      <w:r>
        <w:rPr>
          <w:rFonts w:ascii="仿宋" w:hAnsi="仿宋" w:eastAsia="仿宋"/>
          <w:color w:val="000000"/>
          <w:sz w:val="28"/>
          <w:szCs w:val="28"/>
        </w:rPr>
        <w:t>@1</w:t>
      </w:r>
      <w:r>
        <w:rPr>
          <w:rFonts w:hint="eastAsia" w:ascii="仿宋" w:hAnsi="仿宋" w:eastAsia="仿宋"/>
          <w:color w:val="000000"/>
          <w:sz w:val="28"/>
          <w:szCs w:val="28"/>
        </w:rPr>
        <w:t>63</w:t>
      </w:r>
      <w:r>
        <w:rPr>
          <w:rFonts w:ascii="仿宋" w:hAnsi="仿宋" w:eastAsia="仿宋"/>
          <w:color w:val="000000"/>
          <w:sz w:val="28"/>
          <w:szCs w:val="28"/>
        </w:rPr>
        <w:t>.com</w:t>
      </w:r>
    </w:p>
    <w:p>
      <w:pPr>
        <w:rPr>
          <w:rFonts w:hint="eastAsia" w:ascii="宋体" w:hAnsi="宋体"/>
          <w:b/>
          <w:bCs/>
          <w:color w:val="000000"/>
          <w:sz w:val="24"/>
        </w:rPr>
      </w:pPr>
      <w:r>
        <w:rPr>
          <w:rFonts w:eastAsia="仿宋_GB2312"/>
          <w:b/>
          <w:bCs/>
          <w:sz w:val="28"/>
          <w:szCs w:val="28"/>
        </w:rPr>
        <w:br w:type="page"/>
      </w:r>
    </w:p>
    <w:tbl>
      <w:tblPr>
        <w:tblStyle w:val="8"/>
        <w:tblW w:w="8829"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4"/>
        <w:gridCol w:w="1276"/>
        <w:gridCol w:w="2016"/>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4" w:hRule="atLeast"/>
        </w:trPr>
        <w:tc>
          <w:tcPr>
            <w:tcW w:w="8829" w:type="dxa"/>
            <w:gridSpan w:val="5"/>
            <w:tcBorders>
              <w:bottom w:val="single" w:color="000000" w:sz="4" w:space="0"/>
            </w:tcBorders>
            <w:vAlign w:val="center"/>
          </w:tcPr>
          <w:p>
            <w:pPr>
              <w:snapToGrid w:val="0"/>
              <w:rPr>
                <w:rFonts w:hint="eastAsia" w:ascii="华文中宋" w:hAnsi="华文中宋" w:eastAsia="华文中宋"/>
                <w:b/>
                <w:color w:val="000000"/>
                <w:sz w:val="30"/>
                <w:szCs w:val="30"/>
              </w:rPr>
            </w:pPr>
            <w:r>
              <w:rPr>
                <w:rFonts w:hint="eastAsia" w:ascii="华文中宋" w:hAnsi="华文中宋" w:eastAsia="华文中宋"/>
                <w:b/>
                <w:color w:val="000000"/>
                <w:sz w:val="30"/>
                <w:szCs w:val="30"/>
              </w:rPr>
              <w:t>表一：推荐候选人情况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620" w:type="dxa"/>
            <w:tcBorders>
              <w:bottom w:val="single" w:color="000000" w:sz="4" w:space="0"/>
              <w:right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姓    名</w:t>
            </w:r>
          </w:p>
        </w:tc>
        <w:tc>
          <w:tcPr>
            <w:tcW w:w="2104" w:type="dxa"/>
            <w:tcBorders>
              <w:left w:val="single" w:color="000000" w:sz="4" w:space="0"/>
              <w:bottom w:val="single" w:color="000000" w:sz="4" w:space="0"/>
            </w:tcBorders>
            <w:vAlign w:val="center"/>
          </w:tcPr>
          <w:p>
            <w:pPr>
              <w:snapToGrid w:val="0"/>
              <w:ind w:firstLine="723" w:firstLineChars="300"/>
              <w:jc w:val="left"/>
              <w:rPr>
                <w:rFonts w:eastAsia="仿宋"/>
                <w:b/>
                <w:color w:val="000000"/>
                <w:sz w:val="24"/>
              </w:rPr>
            </w:pPr>
            <w:r>
              <w:rPr>
                <w:rFonts w:eastAsia="仿宋"/>
                <w:b/>
                <w:color w:val="000000"/>
                <w:sz w:val="24"/>
              </w:rPr>
              <w:t>张力</w:t>
            </w:r>
          </w:p>
        </w:tc>
        <w:tc>
          <w:tcPr>
            <w:tcW w:w="1276" w:type="dxa"/>
            <w:tcBorders>
              <w:left w:val="single" w:color="000000" w:sz="4" w:space="0"/>
              <w:bottom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性    别</w:t>
            </w:r>
          </w:p>
        </w:tc>
        <w:tc>
          <w:tcPr>
            <w:tcW w:w="2016" w:type="dxa"/>
            <w:tcBorders>
              <w:left w:val="single" w:color="000000" w:sz="4" w:space="0"/>
              <w:bottom w:val="single" w:color="000000" w:sz="4" w:space="0"/>
            </w:tcBorders>
            <w:vAlign w:val="center"/>
          </w:tcPr>
          <w:p>
            <w:pPr>
              <w:snapToGrid w:val="0"/>
              <w:jc w:val="center"/>
              <w:rPr>
                <w:rFonts w:hint="eastAsia" w:ascii="仿宋" w:hAnsi="仿宋" w:eastAsia="仿宋" w:cs="仿宋"/>
                <w:b/>
                <w:color w:val="000000"/>
                <w:sz w:val="24"/>
              </w:rPr>
            </w:pPr>
            <w:r>
              <w:rPr>
                <w:rFonts w:hint="eastAsia" w:ascii="仿宋" w:hAnsi="仿宋" w:eastAsia="仿宋" w:cs="仿宋"/>
                <w:b/>
                <w:color w:val="000000"/>
                <w:sz w:val="24"/>
              </w:rPr>
              <w:t>男</w:t>
            </w:r>
          </w:p>
        </w:tc>
        <w:tc>
          <w:tcPr>
            <w:tcW w:w="1813" w:type="dxa"/>
            <w:vMerge w:val="restart"/>
            <w:tcBorders>
              <w:left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drawing>
                <wp:inline distT="0" distB="0" distL="0" distR="0">
                  <wp:extent cx="1118870" cy="1642110"/>
                  <wp:effectExtent l="0" t="0" r="5080" b="0"/>
                  <wp:docPr id="2" name="图片 2" descr="证件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证件照"/>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18870" cy="164211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620" w:type="dxa"/>
            <w:tcBorders>
              <w:top w:val="single" w:color="000000" w:sz="4" w:space="0"/>
              <w:bottom w:val="single" w:color="000000" w:sz="4" w:space="0"/>
              <w:right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出生日期</w:t>
            </w:r>
          </w:p>
        </w:tc>
        <w:tc>
          <w:tcPr>
            <w:tcW w:w="2104" w:type="dxa"/>
            <w:tcBorders>
              <w:top w:val="single" w:color="000000" w:sz="4" w:space="0"/>
              <w:left w:val="single" w:color="000000" w:sz="4" w:space="0"/>
              <w:bottom w:val="single" w:color="000000" w:sz="4" w:space="0"/>
            </w:tcBorders>
            <w:vAlign w:val="center"/>
          </w:tcPr>
          <w:p>
            <w:pPr>
              <w:snapToGrid w:val="0"/>
              <w:ind w:firstLine="482" w:firstLineChars="200"/>
              <w:jc w:val="left"/>
              <w:rPr>
                <w:rFonts w:eastAsia="仿宋"/>
                <w:b/>
                <w:color w:val="000000"/>
                <w:sz w:val="24"/>
              </w:rPr>
            </w:pPr>
            <w:r>
              <w:rPr>
                <w:rFonts w:eastAsia="仿宋"/>
                <w:b/>
                <w:color w:val="000000"/>
                <w:sz w:val="24"/>
              </w:rPr>
              <w:t>1976.6.28</w:t>
            </w:r>
          </w:p>
        </w:tc>
        <w:tc>
          <w:tcPr>
            <w:tcW w:w="1276" w:type="dxa"/>
            <w:tcBorders>
              <w:top w:val="single" w:color="000000" w:sz="4" w:space="0"/>
              <w:left w:val="single" w:color="000000" w:sz="4" w:space="0"/>
              <w:bottom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民    族</w:t>
            </w:r>
          </w:p>
        </w:tc>
        <w:tc>
          <w:tcPr>
            <w:tcW w:w="2016" w:type="dxa"/>
            <w:tcBorders>
              <w:top w:val="single" w:color="000000" w:sz="4" w:space="0"/>
              <w:left w:val="single" w:color="000000" w:sz="4" w:space="0"/>
              <w:bottom w:val="single" w:color="000000" w:sz="4" w:space="0"/>
            </w:tcBorders>
            <w:vAlign w:val="center"/>
          </w:tcPr>
          <w:p>
            <w:pPr>
              <w:snapToGrid w:val="0"/>
              <w:jc w:val="center"/>
              <w:rPr>
                <w:rFonts w:hint="eastAsia" w:ascii="仿宋" w:hAnsi="仿宋" w:eastAsia="仿宋" w:cs="仿宋"/>
                <w:b/>
                <w:color w:val="000000"/>
                <w:sz w:val="24"/>
              </w:rPr>
            </w:pPr>
            <w:r>
              <w:rPr>
                <w:rFonts w:hint="eastAsia" w:ascii="仿宋" w:hAnsi="仿宋" w:eastAsia="仿宋" w:cs="仿宋"/>
                <w:b/>
                <w:color w:val="000000"/>
                <w:sz w:val="24"/>
              </w:rPr>
              <w:t>汉族</w:t>
            </w:r>
          </w:p>
        </w:tc>
        <w:tc>
          <w:tcPr>
            <w:tcW w:w="1813" w:type="dxa"/>
            <w:vMerge w:val="continue"/>
            <w:tcBorders>
              <w:left w:val="single" w:color="000000" w:sz="4" w:space="0"/>
            </w:tcBorders>
            <w:vAlign w:val="center"/>
          </w:tcPr>
          <w:p>
            <w:pPr>
              <w:snapToGrid w:val="0"/>
              <w:jc w:val="center"/>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620" w:type="dxa"/>
            <w:tcBorders>
              <w:top w:val="single" w:color="000000" w:sz="4" w:space="0"/>
              <w:bottom w:val="single" w:color="auto" w:sz="4" w:space="0"/>
              <w:right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政治面貌</w:t>
            </w:r>
          </w:p>
        </w:tc>
        <w:tc>
          <w:tcPr>
            <w:tcW w:w="2104" w:type="dxa"/>
            <w:tcBorders>
              <w:top w:val="single" w:color="000000" w:sz="4" w:space="0"/>
              <w:left w:val="single" w:color="000000" w:sz="4" w:space="0"/>
              <w:bottom w:val="single" w:color="auto" w:sz="4" w:space="0"/>
            </w:tcBorders>
            <w:vAlign w:val="center"/>
          </w:tcPr>
          <w:p>
            <w:pPr>
              <w:snapToGrid w:val="0"/>
              <w:ind w:firstLine="482" w:firstLineChars="200"/>
              <w:jc w:val="left"/>
              <w:rPr>
                <w:rFonts w:eastAsia="仿宋"/>
                <w:b/>
                <w:color w:val="000000"/>
                <w:sz w:val="24"/>
              </w:rPr>
            </w:pPr>
            <w:r>
              <w:rPr>
                <w:rFonts w:eastAsia="仿宋"/>
                <w:b/>
                <w:color w:val="000000"/>
                <w:sz w:val="24"/>
              </w:rPr>
              <w:t>共产党员</w:t>
            </w:r>
          </w:p>
        </w:tc>
        <w:tc>
          <w:tcPr>
            <w:tcW w:w="1276" w:type="dxa"/>
            <w:tcBorders>
              <w:top w:val="single" w:color="000000" w:sz="4" w:space="0"/>
              <w:left w:val="single" w:color="000000" w:sz="4" w:space="0"/>
              <w:bottom w:val="single" w:color="auto"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学    历</w:t>
            </w:r>
          </w:p>
        </w:tc>
        <w:tc>
          <w:tcPr>
            <w:tcW w:w="2016" w:type="dxa"/>
            <w:tcBorders>
              <w:top w:val="single" w:color="000000" w:sz="4" w:space="0"/>
              <w:left w:val="single" w:color="000000" w:sz="4" w:space="0"/>
              <w:bottom w:val="single" w:color="auto" w:sz="4" w:space="0"/>
            </w:tcBorders>
            <w:vAlign w:val="center"/>
          </w:tcPr>
          <w:p>
            <w:pPr>
              <w:snapToGrid w:val="0"/>
              <w:jc w:val="center"/>
              <w:rPr>
                <w:rFonts w:hint="eastAsia" w:ascii="仿宋" w:hAnsi="仿宋" w:eastAsia="仿宋" w:cs="仿宋"/>
                <w:b/>
                <w:color w:val="000000"/>
                <w:sz w:val="24"/>
              </w:rPr>
            </w:pPr>
            <w:r>
              <w:rPr>
                <w:rFonts w:hint="eastAsia" w:ascii="仿宋" w:hAnsi="仿宋" w:eastAsia="仿宋" w:cs="仿宋"/>
                <w:b/>
                <w:color w:val="000000"/>
                <w:sz w:val="24"/>
              </w:rPr>
              <w:t>博士研究生</w:t>
            </w:r>
          </w:p>
        </w:tc>
        <w:tc>
          <w:tcPr>
            <w:tcW w:w="1813" w:type="dxa"/>
            <w:vMerge w:val="continue"/>
            <w:tcBorders>
              <w:left w:val="single" w:color="000000" w:sz="4" w:space="0"/>
            </w:tcBorders>
            <w:vAlign w:val="center"/>
          </w:tcPr>
          <w:p>
            <w:pPr>
              <w:snapToGrid w:val="0"/>
              <w:jc w:val="center"/>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rPr>
        <w:tc>
          <w:tcPr>
            <w:tcW w:w="1620" w:type="dxa"/>
            <w:tcBorders>
              <w:top w:val="single" w:color="auto" w:sz="4" w:space="0"/>
              <w:bottom w:val="single" w:color="000000" w:sz="4" w:space="0"/>
              <w:right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技术职称</w:t>
            </w:r>
          </w:p>
        </w:tc>
        <w:tc>
          <w:tcPr>
            <w:tcW w:w="2104" w:type="dxa"/>
            <w:tcBorders>
              <w:top w:val="single" w:color="auto" w:sz="4" w:space="0"/>
              <w:left w:val="single" w:color="000000" w:sz="4" w:space="0"/>
              <w:bottom w:val="single" w:color="000000" w:sz="4" w:space="0"/>
            </w:tcBorders>
            <w:vAlign w:val="center"/>
          </w:tcPr>
          <w:p>
            <w:pPr>
              <w:snapToGrid w:val="0"/>
              <w:ind w:firstLine="723" w:firstLineChars="300"/>
              <w:jc w:val="left"/>
              <w:rPr>
                <w:rFonts w:eastAsia="仿宋"/>
                <w:b/>
                <w:color w:val="000000"/>
                <w:sz w:val="24"/>
              </w:rPr>
            </w:pPr>
            <w:r>
              <w:rPr>
                <w:rFonts w:eastAsia="仿宋"/>
                <w:b/>
                <w:color w:val="000000"/>
                <w:sz w:val="24"/>
              </w:rPr>
              <w:t>教授</w:t>
            </w:r>
          </w:p>
        </w:tc>
        <w:tc>
          <w:tcPr>
            <w:tcW w:w="1276" w:type="dxa"/>
            <w:tcBorders>
              <w:top w:val="single" w:color="auto" w:sz="4" w:space="0"/>
              <w:left w:val="single" w:color="000000" w:sz="4" w:space="0"/>
              <w:bottom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行政职务</w:t>
            </w:r>
          </w:p>
        </w:tc>
        <w:tc>
          <w:tcPr>
            <w:tcW w:w="2016" w:type="dxa"/>
            <w:tcBorders>
              <w:top w:val="single" w:color="auto" w:sz="4" w:space="0"/>
              <w:left w:val="single" w:color="000000" w:sz="4" w:space="0"/>
              <w:bottom w:val="single" w:color="000000" w:sz="4" w:space="0"/>
            </w:tcBorders>
            <w:vAlign w:val="center"/>
          </w:tcPr>
          <w:p>
            <w:pPr>
              <w:snapToGrid w:val="0"/>
              <w:jc w:val="left"/>
              <w:rPr>
                <w:rFonts w:hint="eastAsia" w:ascii="仿宋" w:hAnsi="仿宋" w:eastAsia="仿宋" w:cs="仿宋"/>
                <w:b/>
                <w:color w:val="000000"/>
                <w:sz w:val="24"/>
              </w:rPr>
            </w:pPr>
            <w:r>
              <w:rPr>
                <w:rFonts w:hint="eastAsia" w:ascii="仿宋" w:hAnsi="仿宋" w:eastAsia="仿宋" w:cs="仿宋"/>
                <w:b/>
                <w:color w:val="000000"/>
                <w:sz w:val="24"/>
              </w:rPr>
              <w:t>西南政法大学民商法学院副院长</w:t>
            </w:r>
          </w:p>
        </w:tc>
        <w:tc>
          <w:tcPr>
            <w:tcW w:w="1813" w:type="dxa"/>
            <w:vMerge w:val="continue"/>
            <w:tcBorders>
              <w:left w:val="single" w:color="000000" w:sz="4" w:space="0"/>
            </w:tcBorders>
            <w:vAlign w:val="center"/>
          </w:tcPr>
          <w:p>
            <w:pPr>
              <w:snapToGrid w:val="0"/>
              <w:jc w:val="center"/>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工作单位</w:t>
            </w:r>
          </w:p>
        </w:tc>
        <w:tc>
          <w:tcPr>
            <w:tcW w:w="5396" w:type="dxa"/>
            <w:gridSpan w:val="3"/>
            <w:tcBorders>
              <w:top w:val="single" w:color="000000" w:sz="4" w:space="0"/>
              <w:bottom w:val="single" w:color="000000" w:sz="4" w:space="0"/>
            </w:tcBorders>
            <w:vAlign w:val="center"/>
          </w:tcPr>
          <w:p>
            <w:pPr>
              <w:snapToGrid w:val="0"/>
              <w:ind w:firstLine="1928" w:firstLineChars="800"/>
              <w:jc w:val="left"/>
              <w:rPr>
                <w:rFonts w:eastAsia="仿宋"/>
                <w:b/>
                <w:color w:val="000000"/>
                <w:sz w:val="24"/>
              </w:rPr>
            </w:pPr>
            <w:r>
              <w:rPr>
                <w:rFonts w:eastAsia="仿宋"/>
                <w:b/>
                <w:color w:val="000000"/>
                <w:sz w:val="24"/>
              </w:rPr>
              <w:t>西南政法大学</w:t>
            </w:r>
          </w:p>
        </w:tc>
        <w:tc>
          <w:tcPr>
            <w:tcW w:w="1813" w:type="dxa"/>
            <w:vMerge w:val="continue"/>
            <w:tcBorders>
              <w:left w:val="single" w:color="000000" w:sz="4" w:space="0"/>
            </w:tcBorders>
            <w:vAlign w:val="center"/>
          </w:tcPr>
          <w:p>
            <w:pPr>
              <w:snapToGrid w:val="0"/>
              <w:jc w:val="left"/>
              <w:rPr>
                <w:rFonts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通讯地址</w:t>
            </w:r>
          </w:p>
        </w:tc>
        <w:tc>
          <w:tcPr>
            <w:tcW w:w="7209" w:type="dxa"/>
            <w:gridSpan w:val="4"/>
            <w:tcBorders>
              <w:top w:val="single" w:color="000000" w:sz="4" w:space="0"/>
              <w:bottom w:val="single" w:color="000000" w:sz="4" w:space="0"/>
            </w:tcBorders>
            <w:vAlign w:val="center"/>
          </w:tcPr>
          <w:p>
            <w:pPr>
              <w:snapToGrid w:val="0"/>
              <w:ind w:firstLine="1928" w:firstLineChars="800"/>
              <w:jc w:val="left"/>
              <w:rPr>
                <w:rFonts w:eastAsia="仿宋"/>
                <w:b/>
                <w:color w:val="000000"/>
                <w:sz w:val="24"/>
              </w:rPr>
            </w:pPr>
            <w:r>
              <w:rPr>
                <w:rFonts w:eastAsia="仿宋"/>
                <w:b/>
                <w:color w:val="000000"/>
                <w:sz w:val="24"/>
              </w:rPr>
              <w:t>重庆市渝北区宝圣大道301号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829" w:type="dxa"/>
            <w:gridSpan w:val="5"/>
            <w:tcBorders>
              <w:top w:val="single" w:color="auto" w:sz="4" w:space="0"/>
              <w:bottom w:val="single" w:color="000000" w:sz="4" w:space="0"/>
            </w:tcBorders>
            <w:vAlign w:val="center"/>
          </w:tcPr>
          <w:p>
            <w:pPr>
              <w:spacing w:line="360" w:lineRule="auto"/>
              <w:ind w:firstLine="480" w:firstLineChars="200"/>
              <w:rPr>
                <w:rFonts w:hint="eastAsia" w:ascii="仿宋" w:hAnsi="仿宋" w:eastAsia="仿宋" w:cs="仿宋"/>
                <w:sz w:val="24"/>
              </w:rPr>
            </w:pPr>
          </w:p>
          <w:p>
            <w:pPr>
              <w:tabs>
                <w:tab w:val="left" w:pos="4185"/>
              </w:tabs>
              <w:snapToGrid w:val="0"/>
              <w:jc w:val="center"/>
              <w:rPr>
                <w:rFonts w:hint="eastAsia" w:ascii="宋体" w:hAnsi="宋体"/>
                <w:b/>
                <w:color w:val="000000"/>
                <w:sz w:val="30"/>
                <w:szCs w:val="30"/>
              </w:rPr>
            </w:pPr>
            <w:r>
              <w:rPr>
                <w:rFonts w:hint="eastAsia" w:ascii="宋体" w:hAnsi="宋体"/>
                <w:b/>
                <w:color w:val="000000"/>
                <w:sz w:val="30"/>
                <w:szCs w:val="30"/>
              </w:rPr>
              <w:t>个人简历</w:t>
            </w:r>
          </w:p>
          <w:p>
            <w:pPr>
              <w:spacing w:line="360" w:lineRule="auto"/>
              <w:ind w:firstLine="480" w:firstLineChars="200"/>
              <w:rPr>
                <w:rFonts w:hint="eastAsia" w:ascii="仿宋" w:hAnsi="仿宋" w:eastAsia="仿宋" w:cs="仿宋"/>
                <w:sz w:val="24"/>
              </w:rPr>
            </w:pPr>
          </w:p>
          <w:p>
            <w:pPr>
              <w:spacing w:line="360" w:lineRule="exact"/>
              <w:ind w:firstLine="482" w:firstLineChars="200"/>
              <w:rPr>
                <w:rFonts w:hint="eastAsia" w:ascii="仿宋" w:hAnsi="仿宋" w:eastAsia="仿宋" w:cs="仿宋"/>
                <w:sz w:val="24"/>
              </w:rPr>
            </w:pPr>
            <w:r>
              <w:rPr>
                <w:rFonts w:hint="eastAsia" w:ascii="仿宋" w:hAnsi="仿宋" w:eastAsia="仿宋" w:cs="仿宋"/>
                <w:b/>
                <w:bCs/>
                <w:sz w:val="24"/>
              </w:rPr>
              <w:t>张力</w:t>
            </w:r>
            <w:r>
              <w:rPr>
                <w:rFonts w:hint="eastAsia" w:ascii="仿宋" w:hAnsi="仿宋" w:eastAsia="仿宋" w:cs="仿宋"/>
                <w:sz w:val="24"/>
              </w:rPr>
              <w:t>，男，西南政法大学民商法学院教授、博士生导师、博士后合作导师；法学（民商法方向）博士、法学（经济法方向）博士后；白俄罗斯国立大学公派访问学者；</w:t>
            </w:r>
            <w:r>
              <w:rPr>
                <w:rFonts w:hint="eastAsia" w:ascii="仿宋" w:hAnsi="仿宋" w:eastAsia="仿宋" w:cs="仿宋"/>
                <w:b/>
                <w:bCs/>
                <w:sz w:val="24"/>
              </w:rPr>
              <w:t>西南政法大学学术委员会委员、西南政法大学教学委员会委员；西南政法大学民商法学院副院长</w:t>
            </w:r>
            <w:r>
              <w:rPr>
                <w:rFonts w:hint="eastAsia" w:ascii="仿宋" w:hAnsi="仿宋" w:eastAsia="仿宋" w:cs="仿宋"/>
                <w:sz w:val="24"/>
              </w:rPr>
              <w:t>；西南政法大学</w:t>
            </w:r>
            <w:r>
              <w:rPr>
                <w:rFonts w:hint="eastAsia" w:ascii="仿宋" w:hAnsi="仿宋" w:eastAsia="仿宋" w:cs="仿宋"/>
                <w:b/>
                <w:bCs/>
                <w:sz w:val="24"/>
              </w:rPr>
              <w:t>比较私法研究中心主任</w:t>
            </w:r>
            <w:r>
              <w:rPr>
                <w:rFonts w:hint="eastAsia" w:ascii="仿宋" w:hAnsi="仿宋" w:eastAsia="仿宋" w:cs="仿宋"/>
                <w:sz w:val="24"/>
              </w:rPr>
              <w:t>；西南政法大学</w:t>
            </w:r>
            <w:r>
              <w:rPr>
                <w:rFonts w:hint="eastAsia" w:ascii="仿宋" w:hAnsi="仿宋" w:eastAsia="仿宋" w:cs="仿宋"/>
                <w:b/>
                <w:bCs/>
                <w:sz w:val="24"/>
              </w:rPr>
              <w:t>“大陆法系主要国家民法典完善跟踪研究”青年学术创新团队负责人</w:t>
            </w:r>
            <w:r>
              <w:rPr>
                <w:rFonts w:hint="eastAsia" w:ascii="仿宋" w:hAnsi="仿宋" w:eastAsia="仿宋" w:cs="仿宋"/>
                <w:sz w:val="24"/>
              </w:rPr>
              <w:t>。</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入选重庆市高层次特殊人才支持计划（</w:t>
            </w:r>
            <w:r>
              <w:rPr>
                <w:rFonts w:hint="eastAsia" w:ascii="仿宋" w:hAnsi="仿宋" w:eastAsia="仿宋" w:cs="仿宋"/>
                <w:b/>
                <w:bCs/>
                <w:sz w:val="24"/>
              </w:rPr>
              <w:t>哲学社会科学领军人才</w:t>
            </w:r>
            <w:r>
              <w:rPr>
                <w:rFonts w:hint="eastAsia" w:ascii="仿宋" w:hAnsi="仿宋" w:eastAsia="仿宋" w:cs="仿宋"/>
                <w:sz w:val="24"/>
              </w:rPr>
              <w:t>）、“</w:t>
            </w:r>
            <w:r>
              <w:rPr>
                <w:rFonts w:hint="eastAsia" w:ascii="仿宋" w:hAnsi="仿宋" w:eastAsia="仿宋" w:cs="仿宋"/>
                <w:b/>
                <w:bCs/>
                <w:sz w:val="24"/>
              </w:rPr>
              <w:t>巴渝学者</w:t>
            </w:r>
            <w:r>
              <w:rPr>
                <w:rFonts w:hint="eastAsia" w:ascii="仿宋" w:hAnsi="仿宋" w:eastAsia="仿宋" w:cs="仿宋"/>
                <w:sz w:val="24"/>
              </w:rPr>
              <w:t>”特聘教授、重庆市高校</w:t>
            </w:r>
            <w:r>
              <w:rPr>
                <w:rFonts w:hint="eastAsia" w:ascii="仿宋" w:hAnsi="仿宋" w:eastAsia="仿宋" w:cs="仿宋"/>
                <w:b/>
                <w:bCs/>
                <w:sz w:val="24"/>
              </w:rPr>
              <w:t>优秀中青年骨干教师</w:t>
            </w:r>
            <w:r>
              <w:rPr>
                <w:rFonts w:hint="eastAsia" w:ascii="仿宋" w:hAnsi="仿宋" w:eastAsia="仿宋" w:cs="仿宋"/>
                <w:sz w:val="24"/>
              </w:rPr>
              <w:t>。兼任中国法学会</w:t>
            </w:r>
            <w:r>
              <w:rPr>
                <w:rFonts w:hint="eastAsia" w:ascii="仿宋" w:hAnsi="仿宋" w:eastAsia="仿宋" w:cs="仿宋"/>
                <w:b/>
                <w:bCs/>
                <w:sz w:val="24"/>
              </w:rPr>
              <w:t>民法学研究会理事</w:t>
            </w:r>
            <w:r>
              <w:rPr>
                <w:rFonts w:hint="eastAsia" w:ascii="仿宋" w:hAnsi="仿宋" w:eastAsia="仿宋" w:cs="仿宋"/>
                <w:sz w:val="24"/>
              </w:rPr>
              <w:t>、中国法学会</w:t>
            </w:r>
            <w:r>
              <w:rPr>
                <w:rFonts w:hint="eastAsia" w:ascii="仿宋" w:hAnsi="仿宋" w:eastAsia="仿宋" w:cs="仿宋"/>
                <w:b/>
                <w:bCs/>
                <w:sz w:val="24"/>
              </w:rPr>
              <w:t>婚姻家庭法学研究会理事</w:t>
            </w:r>
            <w:r>
              <w:rPr>
                <w:rFonts w:hint="eastAsia" w:ascii="仿宋" w:hAnsi="仿宋" w:eastAsia="仿宋" w:cs="仿宋"/>
                <w:sz w:val="24"/>
              </w:rPr>
              <w:t>、中国法学会</w:t>
            </w:r>
            <w:r>
              <w:rPr>
                <w:rFonts w:hint="eastAsia" w:ascii="仿宋" w:hAnsi="仿宋" w:eastAsia="仿宋" w:cs="仿宋"/>
                <w:b/>
                <w:bCs/>
                <w:sz w:val="24"/>
              </w:rPr>
              <w:t>比较法学研究会理事</w:t>
            </w:r>
            <w:r>
              <w:rPr>
                <w:rFonts w:hint="eastAsia" w:ascii="仿宋" w:hAnsi="仿宋" w:eastAsia="仿宋" w:cs="仿宋"/>
                <w:sz w:val="24"/>
              </w:rPr>
              <w:t>。兼任重庆仲裁委员会、珠海仲裁委员会、遵义仲裁委员会、泸州仲裁委员会、包头仲裁委员会</w:t>
            </w:r>
            <w:r>
              <w:rPr>
                <w:rFonts w:hint="eastAsia" w:ascii="仿宋" w:hAnsi="仿宋" w:eastAsia="仿宋" w:cs="仿宋"/>
                <w:b/>
                <w:bCs/>
                <w:sz w:val="24"/>
              </w:rPr>
              <w:t>等仲裁机构仲裁员</w:t>
            </w:r>
            <w:r>
              <w:rPr>
                <w:rFonts w:hint="eastAsia" w:ascii="仿宋" w:hAnsi="仿宋" w:eastAsia="仿宋" w:cs="仿宋"/>
                <w:sz w:val="24"/>
              </w:rPr>
              <w:t>。兼任</w:t>
            </w:r>
            <w:r>
              <w:rPr>
                <w:rFonts w:hint="eastAsia" w:ascii="仿宋" w:hAnsi="仿宋" w:eastAsia="仿宋" w:cs="仿宋"/>
                <w:b/>
                <w:bCs/>
                <w:sz w:val="24"/>
              </w:rPr>
              <w:t>重庆市检察院民事行政检察专家委员会委员、重庆市国有土地上房屋征收评估专家委员会委员、重庆市图书馆公益大讲堂讲座专家</w:t>
            </w:r>
            <w:r>
              <w:rPr>
                <w:rFonts w:hint="eastAsia" w:ascii="仿宋" w:hAnsi="仿宋" w:eastAsia="仿宋" w:cs="仿宋"/>
                <w:sz w:val="24"/>
              </w:rPr>
              <w:t>，等等。</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历任西南政法大学教务处副处长，主持</w:t>
            </w:r>
            <w:r>
              <w:rPr>
                <w:rFonts w:hint="eastAsia" w:ascii="仿宋" w:hAnsi="仿宋" w:eastAsia="仿宋" w:cs="仿宋"/>
                <w:b/>
                <w:bCs/>
                <w:sz w:val="24"/>
              </w:rPr>
              <w:t>西南政法大学卓越法律人才培养计划</w:t>
            </w:r>
            <w:r>
              <w:rPr>
                <w:rFonts w:hint="eastAsia" w:ascii="仿宋" w:hAnsi="仿宋" w:eastAsia="仿宋" w:cs="仿宋"/>
                <w:sz w:val="24"/>
              </w:rPr>
              <w:t>的申报与实施方案制定。主持重庆市</w:t>
            </w:r>
            <w:r>
              <w:rPr>
                <w:rFonts w:hint="eastAsia" w:ascii="仿宋" w:hAnsi="仿宋" w:eastAsia="仿宋" w:cs="仿宋"/>
                <w:b/>
                <w:bCs/>
                <w:sz w:val="24"/>
              </w:rPr>
              <w:t>高等教育教学改革研究重大项目“卓越法律人才统筹培养机制研究”</w:t>
            </w:r>
            <w:r>
              <w:rPr>
                <w:rFonts w:hint="eastAsia" w:ascii="仿宋" w:hAnsi="仿宋" w:eastAsia="仿宋" w:cs="仿宋"/>
                <w:sz w:val="24"/>
              </w:rPr>
              <w:t>。深入探索适应西政实际的应用型、复合型卓越法律人才培养创新模式，探索支撑人才培养模式改革的法学实验班、复合型新专业方向的开办与优化路径。长期给本科生与研究生主讲民法类课程，教学效果突出。作为</w:t>
            </w:r>
            <w:r>
              <w:rPr>
                <w:rFonts w:hint="eastAsia" w:ascii="仿宋" w:hAnsi="仿宋" w:eastAsia="仿宋" w:cs="仿宋"/>
                <w:b/>
                <w:bCs/>
                <w:sz w:val="24"/>
              </w:rPr>
              <w:t>国家级精品资源共享课《民法学》</w:t>
            </w:r>
            <w:r>
              <w:rPr>
                <w:rFonts w:hint="eastAsia" w:ascii="仿宋" w:hAnsi="仿宋" w:eastAsia="仿宋" w:cs="仿宋"/>
                <w:sz w:val="24"/>
              </w:rPr>
              <w:t>、</w:t>
            </w:r>
            <w:r>
              <w:rPr>
                <w:rFonts w:hint="eastAsia" w:ascii="仿宋" w:hAnsi="仿宋" w:eastAsia="仿宋" w:cs="仿宋"/>
                <w:b/>
                <w:bCs/>
                <w:sz w:val="24"/>
              </w:rPr>
              <w:t>国家级视频公开课《民法精神与社会文明》</w:t>
            </w:r>
            <w:r>
              <w:rPr>
                <w:rFonts w:hint="eastAsia" w:ascii="仿宋" w:hAnsi="仿宋" w:eastAsia="仿宋" w:cs="仿宋"/>
                <w:sz w:val="24"/>
              </w:rPr>
              <w:t>的主讲教师，深入探索精品课程资源嵌入传统课堂教学的反转式教学改革。担任</w:t>
            </w:r>
            <w:r>
              <w:rPr>
                <w:rFonts w:hint="eastAsia" w:ascii="仿宋" w:hAnsi="仿宋" w:eastAsia="仿宋" w:cs="仿宋"/>
                <w:b/>
                <w:bCs/>
                <w:sz w:val="24"/>
              </w:rPr>
              <w:t>国家教育干部网络学院“国培计划”视频公开课《民法学》课程</w:t>
            </w:r>
            <w:r>
              <w:rPr>
                <w:rFonts w:hint="eastAsia" w:ascii="仿宋" w:hAnsi="仿宋" w:eastAsia="仿宋" w:cs="仿宋"/>
                <w:sz w:val="24"/>
              </w:rPr>
              <w:t>主讲人。受聘担任</w:t>
            </w:r>
            <w:r>
              <w:rPr>
                <w:rFonts w:hint="eastAsia" w:ascii="仿宋" w:hAnsi="仿宋" w:eastAsia="仿宋" w:cs="仿宋"/>
                <w:b/>
                <w:bCs/>
                <w:sz w:val="24"/>
              </w:rPr>
              <w:t>京师（重庆）教育学院院长</w:t>
            </w:r>
            <w:r>
              <w:rPr>
                <w:rFonts w:hint="eastAsia" w:ascii="仿宋" w:hAnsi="仿宋" w:eastAsia="仿宋" w:cs="仿宋"/>
                <w:sz w:val="24"/>
              </w:rPr>
              <w:t>，推动公益性网络法治宣传与普法教育的新模式。近年来，获得</w:t>
            </w:r>
            <w:r>
              <w:rPr>
                <w:rFonts w:hint="eastAsia" w:ascii="仿宋" w:hAnsi="仿宋" w:eastAsia="仿宋" w:cs="仿宋"/>
                <w:b/>
                <w:bCs/>
                <w:sz w:val="24"/>
              </w:rPr>
              <w:t>“中国法学教育研究成果奖”“金平教育基金永泰教育贡献奖”“金平教育基金柯泰教书育人奖”</w:t>
            </w:r>
            <w:r>
              <w:rPr>
                <w:rFonts w:hint="eastAsia" w:ascii="仿宋" w:hAnsi="仿宋" w:eastAsia="仿宋" w:cs="仿宋"/>
                <w:sz w:val="24"/>
              </w:rPr>
              <w:t>等教育教学奖。</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主要从事公法与私法接轨路径下的民法理论创新研究。在坚持经典与基础理论研究的同时，主动回应国家经济社会发展对民法学研究的新需求，深入参与我国民法典编纂等重大法治进程。主持</w:t>
            </w:r>
            <w:r>
              <w:rPr>
                <w:rFonts w:hint="eastAsia" w:ascii="仿宋" w:hAnsi="仿宋" w:eastAsia="仿宋" w:cs="仿宋"/>
                <w:b/>
                <w:bCs/>
                <w:sz w:val="24"/>
              </w:rPr>
              <w:t>国家社科基金两项，主持教育部、司法部、中国法学会、重庆市哲学社会科学规划项目等省部级课题及横向委托课题10项</w:t>
            </w:r>
            <w:r>
              <w:rPr>
                <w:rFonts w:hint="eastAsia" w:ascii="仿宋" w:hAnsi="仿宋" w:eastAsia="仿宋" w:cs="仿宋"/>
                <w:sz w:val="24"/>
              </w:rPr>
              <w:t>，参与国家社科基金及省部级课题11项。出版</w:t>
            </w:r>
            <w:r>
              <w:rPr>
                <w:rFonts w:hint="eastAsia" w:ascii="仿宋" w:hAnsi="仿宋" w:eastAsia="仿宋" w:cs="仿宋"/>
                <w:b/>
                <w:bCs/>
                <w:sz w:val="24"/>
              </w:rPr>
              <w:t>学术专著4部</w:t>
            </w:r>
            <w:r>
              <w:rPr>
                <w:rFonts w:hint="eastAsia" w:ascii="仿宋" w:hAnsi="仿宋" w:eastAsia="仿宋" w:cs="仿宋"/>
                <w:sz w:val="24"/>
              </w:rPr>
              <w:t>，在</w:t>
            </w:r>
            <w:r>
              <w:rPr>
                <w:rFonts w:hint="eastAsia" w:ascii="仿宋" w:hAnsi="仿宋" w:eastAsia="仿宋" w:cs="仿宋"/>
                <w:b/>
                <w:bCs/>
                <w:sz w:val="24"/>
              </w:rPr>
              <w:t>《中国法学》《法学研究》等学术期刊上发表学术论文130余篇</w:t>
            </w:r>
            <w:r>
              <w:rPr>
                <w:rFonts w:hint="eastAsia" w:ascii="仿宋" w:hAnsi="仿宋" w:eastAsia="仿宋" w:cs="仿宋"/>
                <w:sz w:val="24"/>
              </w:rPr>
              <w:t>。获得中国法学会</w:t>
            </w:r>
            <w:r>
              <w:rPr>
                <w:rFonts w:hint="eastAsia" w:ascii="仿宋" w:hAnsi="仿宋" w:eastAsia="仿宋" w:cs="仿宋"/>
                <w:b/>
                <w:bCs/>
                <w:sz w:val="24"/>
              </w:rPr>
              <w:t>“中国法学优秀成果奖”“重庆市哲学社会科学优秀成果奖”</w:t>
            </w:r>
            <w:r>
              <w:rPr>
                <w:rFonts w:hint="eastAsia" w:ascii="仿宋" w:hAnsi="仿宋" w:eastAsia="仿宋" w:cs="仿宋"/>
                <w:sz w:val="24"/>
              </w:rPr>
              <w:t>等科研奖十余项。</w:t>
            </w:r>
          </w:p>
          <w:p>
            <w:pPr>
              <w:spacing w:line="360" w:lineRule="exact"/>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829" w:type="dxa"/>
            <w:gridSpan w:val="5"/>
            <w:tcBorders>
              <w:top w:val="single" w:color="auto" w:sz="4" w:space="0"/>
              <w:bottom w:val="single" w:color="000000" w:sz="4" w:space="0"/>
            </w:tcBorders>
            <w:vAlign w:val="center"/>
          </w:tcPr>
          <w:p>
            <w:pPr>
              <w:tabs>
                <w:tab w:val="left" w:pos="4185"/>
              </w:tabs>
              <w:snapToGrid w:val="0"/>
              <w:jc w:val="center"/>
              <w:rPr>
                <w:rFonts w:hint="eastAsia" w:ascii="宋体" w:hAnsi="宋体"/>
                <w:b/>
                <w:color w:val="000000"/>
                <w:sz w:val="30"/>
                <w:szCs w:val="30"/>
              </w:rPr>
            </w:pPr>
          </w:p>
          <w:p>
            <w:pPr>
              <w:tabs>
                <w:tab w:val="left" w:pos="4185"/>
              </w:tabs>
              <w:snapToGrid w:val="0"/>
              <w:jc w:val="center"/>
              <w:rPr>
                <w:rFonts w:hint="eastAsia" w:ascii="宋体" w:hAnsi="宋体"/>
                <w:b/>
                <w:color w:val="000000"/>
                <w:sz w:val="30"/>
                <w:szCs w:val="30"/>
              </w:rPr>
            </w:pPr>
            <w:r>
              <w:rPr>
                <w:rFonts w:hint="eastAsia" w:ascii="宋体" w:hAnsi="宋体"/>
                <w:b/>
                <w:color w:val="000000"/>
                <w:sz w:val="30"/>
                <w:szCs w:val="30"/>
              </w:rPr>
              <w:t>重要学术成果</w:t>
            </w:r>
          </w:p>
          <w:p>
            <w:pPr>
              <w:tabs>
                <w:tab w:val="left" w:pos="4185"/>
              </w:tabs>
              <w:snapToGrid w:val="0"/>
              <w:jc w:val="center"/>
              <w:rPr>
                <w:rFonts w:hint="eastAsia" w:ascii="宋体" w:hAnsi="宋体"/>
                <w:b/>
                <w:color w:val="000000"/>
                <w:sz w:val="30"/>
                <w:szCs w:val="30"/>
              </w:rPr>
            </w:pPr>
          </w:p>
          <w:p>
            <w:pPr>
              <w:tabs>
                <w:tab w:val="left" w:pos="4185"/>
              </w:tabs>
              <w:snapToGrid w:val="0"/>
              <w:jc w:val="left"/>
              <w:rPr>
                <w:rFonts w:hint="eastAsia" w:ascii="楷体_GB2312" w:hAnsi="楷体" w:eastAsia="楷体_GB2312"/>
                <w:b/>
                <w:color w:val="000000"/>
                <w:sz w:val="24"/>
              </w:rPr>
            </w:pPr>
            <w:r>
              <w:rPr>
                <w:rFonts w:hint="eastAsia" w:ascii="楷体_GB2312" w:hAnsi="楷体" w:eastAsia="楷体_GB2312"/>
                <w:b/>
                <w:color w:val="000000"/>
                <w:sz w:val="24"/>
              </w:rPr>
              <w:t>（包括专著和论文，只列书名和篇名即可。论文仅限于发表在核心期刊或全国性重要报纸上的。请注明署名方式、发表或出版时间、刊物或出版社、字数。代表性著作和论文请注明中国知网统计的被引用数。）</w:t>
            </w:r>
          </w:p>
          <w:p>
            <w:pPr>
              <w:tabs>
                <w:tab w:val="left" w:pos="4185"/>
              </w:tabs>
              <w:snapToGrid w:val="0"/>
              <w:rPr>
                <w:rFonts w:hint="eastAsia" w:ascii="宋体" w:hAnsi="宋体"/>
                <w:b/>
                <w:color w:val="000000"/>
                <w:sz w:val="30"/>
                <w:szCs w:val="30"/>
              </w:rPr>
            </w:pPr>
          </w:p>
          <w:p>
            <w:pPr>
              <w:spacing w:line="360" w:lineRule="exact"/>
              <w:ind w:firstLine="482" w:firstLineChars="200"/>
              <w:rPr>
                <w:rFonts w:hint="eastAsia" w:ascii="仿宋" w:hAnsi="仿宋" w:eastAsia="仿宋" w:cs="仿宋"/>
                <w:b/>
                <w:bCs/>
                <w:sz w:val="24"/>
              </w:rPr>
            </w:pPr>
            <w:r>
              <w:rPr>
                <w:rFonts w:hint="eastAsia" w:ascii="仿宋" w:hAnsi="仿宋" w:eastAsia="仿宋" w:cs="仿宋"/>
                <w:b/>
                <w:bCs/>
                <w:sz w:val="24"/>
              </w:rPr>
              <w:t>（一）专著</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 《俄罗斯非公司制国家企业法研究》，台湾元照出版社2018版，独著，21万字。</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2. 《人口城镇化背景下农村非正式地权变动模式研究》，华中科技大学出版社2019年版，独著，23万字。</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3.《公立大学法人主体地位与治理结构完善研究》，华中科技大学出版社2016年版，第一作者，25万字，被引用81次。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4.《法人独立财产制研究》，法律出版社2008年版，独著，26万字，被引用44次。</w:t>
            </w:r>
          </w:p>
          <w:p>
            <w:pPr>
              <w:spacing w:line="360" w:lineRule="exact"/>
              <w:ind w:firstLine="482" w:firstLineChars="200"/>
              <w:rPr>
                <w:rFonts w:hint="eastAsia" w:ascii="仿宋" w:hAnsi="仿宋" w:eastAsia="仿宋" w:cs="仿宋"/>
                <w:b/>
                <w:bCs/>
                <w:sz w:val="24"/>
              </w:rPr>
            </w:pPr>
            <w:r>
              <w:rPr>
                <w:rFonts w:hint="eastAsia" w:ascii="仿宋" w:hAnsi="仿宋" w:eastAsia="仿宋" w:cs="仿宋"/>
                <w:b/>
                <w:bCs/>
                <w:sz w:val="24"/>
              </w:rPr>
              <w:t>（二）论文</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1.《法人功能性分类与结构性分类的兼容性解释》，《中国法学》2019年第2期，独著，2.2万字。</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2.《国家所有权遁入私法：路径与实质》，《法学研究》2016年第4期，独著，2.4万字，被引用20次。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3.《民法转型的法源缺陷:形式化、制定法优位及其校正》，《法学研究》2016年第4期，独著，2.3万字，被引用16次。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4.《先占取得的正当性缺陷及其法律规制》，《中外法学》2018 年第4期，独著，2.1万字，被引用2次。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5.《临界点视阈下民法典继承编基本原则之建构》，《法学杂志》2017年第10期，第一作者,1.9万字。</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6.《论法人的精神损害赔偿请求权》，《法商研究》2017年第</w:t>
            </w:r>
            <w:r>
              <w:rPr>
                <w:rFonts w:ascii="仿宋" w:hAnsi="仿宋" w:eastAsia="仿宋" w:cs="仿宋"/>
                <w:sz w:val="24"/>
              </w:rPr>
              <w:t>1</w:t>
            </w:r>
            <w:r>
              <w:rPr>
                <w:rFonts w:hint="eastAsia" w:ascii="仿宋" w:hAnsi="仿宋" w:eastAsia="仿宋" w:cs="仿宋"/>
                <w:sz w:val="24"/>
              </w:rPr>
              <w:t>期，独著，2.1万字，被引用5次。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7.《民法典“现实宪法”功能的丧失与宪法实施法功能的展开》，《法制与社会发展》2019年第1期，独著，2.2万字，被引用1次。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8.《夫妻共同债务认定中的用途规则》，《江西师范大学学报（哲学社会科学版）》2019年第3期，第一作者，1.4万字。</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9.《法人与公司制度融合风险的法律控制——兼论实现国家公司公益性的法人制度支持》，《现代法学》2013年第2期，独著，1.8万字，被引用4次。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10.《地权变动视角下户籍制度改革的法律规制》，《法学》2012年第9期，独著1.9万字，被引用24次，。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11.《私法中的“人”——法人体系的序列化思考》，《法律科学(西北政法大学学报)》2008年第3期，独著，1.7万字，被引用13次。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12.《论法人人格权制度扩张的限度问题》，《法制与社会发展》2008年第6期，独著，2.1万字，被引用12次。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13.《社会转型期俄罗斯的公共所有权制度——兼论公共所有权与私人所有权的制度关系》，《法律科学》2009年第2期，独著，1.9万字，被引用14次。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14.《广义财产观下的人格权及其宪法性回归》，《法商研究》2009年第6期，独著，1.7万字，被引用7次。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15.《俄罗斯民法中单一制企业的主体地位及其过渡性——转型社会中“商业公营造物”的实证分析》，《法律科学(西北政法大学学报)》2010年第5期，独著，1.8万字，被引用4次。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16.《农村集体土地征收中被征收人的权利缺损及其补全——从以集体所有权为中心到以农民用益物权为中心》，《法学杂志》2012年第3期，独著，2.1万字，被引用45次。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17.《论国家所有权理论与实践的当代出路——基于公产与私产的区分》，《浙江社会科学》2009年第12期，独著，2.1万字，被引用23次。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18.《权利、法益区分保护及其在民法总则中的体现——评〈民法总则(草案)〉第五章》，《河南社会科学》2016年第11期，独著，2.3万字，被引用4次。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19.《法人制度中的公、私法调整方法辨析——兼对公、私法人区分标准另解》，《东南学术》2016年第6期，独著，1.8万字，被引用3次。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20.《农村地权改革中的集体组织法人化模式》，《农村经济》2009年第2期，独著，1.7万字，被引用11次。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21.《民法典中法人分类的逻辑性:功用、局限及其克服》，《安徽大学学报》2019年第2期，独著，1.7万字。</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22.《侵权责任法中的第三人侵权行为——与杨立新教授商榷》，《现代法学》2015年第1期，第一作者，1.9万字，被引用39次。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23.《承租人死亡时房屋租赁合同存续问题探究》，《法学》2014年第5期，第一作者，1.8万字，被引用4次。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24.《住宅建设用地使用权续期规则相关问题探析》，《法学》2016年第7期，第一作者，2.2万字，被引用33次。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25.《推进农村土地承包权与经营权再分离的法制构造研究》，《农业经济问题》2015年第1期，第一作者，1.9万字，被引用158次。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26.《高度自动驾驶汽车交通侵权责任构造分析》，《浙江社会科学》2018年第8期，第一作者，1.8万字，被引用4次。</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27.《机器人“人格”理论批判与人工智能物的法律规制》，《学术界》2018年第12期，第一作者，1.9万字。</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28.《“三权分置”路径下农村宅基地资格权的制度表达》，《农业经济问题》2019年第4期，第一作者，1.7万字。</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29.《无权代理人归责中的代为履行问题研究——以民法总则第171条为视角》，《重庆大学学报(社会科学版)》2019年第1期，1.7万字，第一作者。</w:t>
            </w:r>
          </w:p>
          <w:p>
            <w:pPr>
              <w:spacing w:line="360" w:lineRule="exact"/>
              <w:ind w:firstLine="480" w:firstLineChars="200"/>
              <w:rPr>
                <w:rFonts w:hint="eastAsia" w:ascii="仿宋" w:hAnsi="仿宋" w:eastAsia="仿宋" w:cs="仿宋"/>
                <w:sz w:val="24"/>
              </w:rPr>
            </w:pPr>
          </w:p>
          <w:p>
            <w:pPr>
              <w:tabs>
                <w:tab w:val="left" w:pos="4185"/>
              </w:tabs>
              <w:snapToGrid w:val="0"/>
              <w:rPr>
                <w:rFonts w:hint="eastAsia" w:ascii="宋体" w:hAnsi="宋体"/>
                <w:b/>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7" w:hRule="atLeast"/>
        </w:trPr>
        <w:tc>
          <w:tcPr>
            <w:tcW w:w="8829" w:type="dxa"/>
            <w:gridSpan w:val="5"/>
            <w:tcBorders>
              <w:top w:val="single" w:color="auto" w:sz="4" w:space="0"/>
              <w:bottom w:val="single" w:color="000000" w:sz="4" w:space="0"/>
            </w:tcBorders>
            <w:vAlign w:val="center"/>
          </w:tcPr>
          <w:p>
            <w:pPr>
              <w:tabs>
                <w:tab w:val="left" w:pos="4185"/>
              </w:tabs>
              <w:snapToGrid w:val="0"/>
              <w:ind w:firstLine="2711" w:firstLineChars="900"/>
              <w:rPr>
                <w:rFonts w:cs="Arial"/>
                <w:b/>
                <w:kern w:val="0"/>
                <w:sz w:val="30"/>
                <w:szCs w:val="30"/>
              </w:rPr>
            </w:pPr>
          </w:p>
          <w:p>
            <w:pPr>
              <w:tabs>
                <w:tab w:val="left" w:pos="4185"/>
              </w:tabs>
              <w:snapToGrid w:val="0"/>
              <w:ind w:firstLine="2711" w:firstLineChars="900"/>
              <w:rPr>
                <w:rFonts w:cs="Arial"/>
                <w:b/>
                <w:kern w:val="0"/>
                <w:sz w:val="30"/>
                <w:szCs w:val="30"/>
              </w:rPr>
            </w:pPr>
            <w:r>
              <w:rPr>
                <w:rFonts w:hint="eastAsia" w:cs="Arial"/>
                <w:b/>
                <w:kern w:val="0"/>
                <w:sz w:val="30"/>
                <w:szCs w:val="30"/>
              </w:rPr>
              <w:t>在法学教育方面</w:t>
            </w:r>
            <w:r>
              <w:rPr>
                <w:rFonts w:cs="Arial"/>
                <w:b/>
                <w:kern w:val="0"/>
                <w:sz w:val="30"/>
                <w:szCs w:val="30"/>
              </w:rPr>
              <w:t>的贡献</w:t>
            </w:r>
          </w:p>
          <w:p>
            <w:pPr>
              <w:tabs>
                <w:tab w:val="left" w:pos="4185"/>
              </w:tabs>
              <w:snapToGrid w:val="0"/>
              <w:ind w:firstLine="2711" w:firstLineChars="900"/>
              <w:rPr>
                <w:rFonts w:hint="eastAsia" w:cs="Arial"/>
                <w:b/>
                <w:kern w:val="0"/>
                <w:sz w:val="30"/>
                <w:szCs w:val="30"/>
              </w:rPr>
            </w:pPr>
          </w:p>
          <w:p>
            <w:pPr>
              <w:tabs>
                <w:tab w:val="left" w:pos="4185"/>
              </w:tabs>
              <w:snapToGrid w:val="0"/>
              <w:ind w:firstLine="241" w:firstLineChars="100"/>
              <w:jc w:val="left"/>
              <w:rPr>
                <w:rFonts w:hint="eastAsia" w:ascii="楷体_GB2312" w:hAnsi="楷体" w:eastAsia="楷体_GB2312"/>
                <w:b/>
                <w:color w:val="000000"/>
                <w:sz w:val="24"/>
              </w:rPr>
            </w:pPr>
            <w:r>
              <w:rPr>
                <w:rFonts w:hint="eastAsia" w:ascii="楷体_GB2312" w:hAnsi="楷体" w:eastAsia="楷体_GB2312"/>
                <w:b/>
                <w:color w:val="000000"/>
                <w:sz w:val="24"/>
              </w:rPr>
              <w:t>（如编写重点教材、主讲精品课程、在法学教育方面获得的重要荣誉表彰等。）</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参与编写</w:t>
            </w:r>
            <w:r>
              <w:rPr>
                <w:rFonts w:hint="eastAsia" w:ascii="仿宋" w:hAnsi="仿宋" w:eastAsia="仿宋" w:cs="仿宋"/>
                <w:b/>
                <w:bCs/>
                <w:sz w:val="24"/>
              </w:rPr>
              <w:t>“普通高等教育国家精品课程规划教材”《中国民法学》</w:t>
            </w:r>
            <w:r>
              <w:rPr>
                <w:rFonts w:hint="eastAsia" w:ascii="仿宋" w:hAnsi="仿宋" w:eastAsia="仿宋" w:cs="仿宋"/>
                <w:sz w:val="24"/>
              </w:rPr>
              <w:t>，编写</w:t>
            </w:r>
            <w:r>
              <w:rPr>
                <w:rFonts w:hint="eastAsia" w:ascii="仿宋" w:hAnsi="仿宋" w:eastAsia="仿宋" w:cs="仿宋"/>
                <w:b/>
                <w:bCs/>
                <w:sz w:val="24"/>
              </w:rPr>
              <w:t>“应用型高级法律人才系列教材”《房地产法实务教程》</w:t>
            </w:r>
            <w:r>
              <w:rPr>
                <w:rFonts w:hint="eastAsia" w:ascii="仿宋" w:hAnsi="仿宋" w:eastAsia="仿宋" w:cs="仿宋"/>
                <w:sz w:val="24"/>
              </w:rPr>
              <w:t>。</w:t>
            </w:r>
          </w:p>
          <w:p>
            <w:pPr>
              <w:spacing w:line="360" w:lineRule="exact"/>
              <w:ind w:firstLine="480" w:firstLineChars="200"/>
              <w:rPr>
                <w:rFonts w:hint="eastAsia" w:ascii="仿宋" w:hAnsi="仿宋" w:eastAsia="仿宋" w:cs="仿宋"/>
                <w:sz w:val="24"/>
              </w:rPr>
            </w:pP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历任西南政法大学</w:t>
            </w:r>
            <w:r>
              <w:rPr>
                <w:rFonts w:hint="eastAsia" w:ascii="仿宋" w:hAnsi="仿宋" w:eastAsia="仿宋" w:cs="仿宋"/>
                <w:b/>
                <w:bCs/>
                <w:sz w:val="24"/>
              </w:rPr>
              <w:t>教务处副处长</w:t>
            </w:r>
            <w:r>
              <w:rPr>
                <w:rFonts w:hint="eastAsia" w:ascii="仿宋" w:hAnsi="仿宋" w:eastAsia="仿宋" w:cs="仿宋"/>
                <w:sz w:val="24"/>
              </w:rPr>
              <w:t>，主持</w:t>
            </w:r>
            <w:r>
              <w:rPr>
                <w:rFonts w:hint="eastAsia" w:ascii="仿宋" w:hAnsi="仿宋" w:eastAsia="仿宋" w:cs="仿宋"/>
                <w:b/>
                <w:bCs/>
                <w:sz w:val="24"/>
              </w:rPr>
              <w:t>西南政法大学卓越法律人才培养计划的申报与实施方案制定</w:t>
            </w:r>
            <w:r>
              <w:rPr>
                <w:rFonts w:hint="eastAsia" w:ascii="仿宋" w:hAnsi="仿宋" w:eastAsia="仿宋" w:cs="仿宋"/>
                <w:sz w:val="24"/>
              </w:rPr>
              <w:t>。主持重庆市高等教育教学改革研究重大项目“卓越法律人才统筹培养机制研究”，起草完成《重庆市卓越法律人才统筹培养机制研究报告》。深入探索适应西政实际的</w:t>
            </w:r>
            <w:r>
              <w:rPr>
                <w:rFonts w:hint="eastAsia" w:ascii="仿宋" w:hAnsi="仿宋" w:eastAsia="仿宋" w:cs="仿宋"/>
                <w:b/>
                <w:bCs/>
                <w:sz w:val="24"/>
              </w:rPr>
              <w:t>应用型、复合型卓越法律人才培养创新模式</w:t>
            </w:r>
            <w:r>
              <w:rPr>
                <w:rFonts w:hint="eastAsia" w:ascii="仿宋" w:hAnsi="仿宋" w:eastAsia="仿宋" w:cs="仿宋"/>
                <w:sz w:val="24"/>
              </w:rPr>
              <w:t>，探索支撑人才培养模式改革的</w:t>
            </w:r>
            <w:r>
              <w:rPr>
                <w:rFonts w:hint="eastAsia" w:ascii="仿宋" w:hAnsi="仿宋" w:eastAsia="仿宋" w:cs="仿宋"/>
                <w:b/>
                <w:bCs/>
                <w:sz w:val="24"/>
              </w:rPr>
              <w:t>法学实验班</w:t>
            </w:r>
            <w:r>
              <w:rPr>
                <w:rFonts w:hint="eastAsia" w:ascii="仿宋" w:hAnsi="仿宋" w:eastAsia="仿宋" w:cs="仿宋"/>
                <w:sz w:val="24"/>
              </w:rPr>
              <w:t>、</w:t>
            </w:r>
            <w:r>
              <w:rPr>
                <w:rFonts w:hint="eastAsia" w:ascii="仿宋" w:hAnsi="仿宋" w:eastAsia="仿宋" w:cs="仿宋"/>
                <w:b/>
                <w:bCs/>
                <w:sz w:val="24"/>
              </w:rPr>
              <w:t>复合型新专业方向的开办与优化路径</w:t>
            </w:r>
            <w:r>
              <w:rPr>
                <w:rFonts w:hint="eastAsia" w:ascii="仿宋" w:hAnsi="仿宋" w:eastAsia="仿宋" w:cs="仿宋"/>
                <w:sz w:val="24"/>
              </w:rPr>
              <w:t>。受聘担任京师（重庆）教育学院院长，推动</w:t>
            </w:r>
            <w:r>
              <w:rPr>
                <w:rFonts w:hint="eastAsia" w:ascii="仿宋" w:hAnsi="仿宋" w:eastAsia="仿宋" w:cs="仿宋"/>
                <w:b/>
                <w:bCs/>
                <w:sz w:val="24"/>
              </w:rPr>
              <w:t>公益性网络法治宣传与普法教育的新模式</w:t>
            </w:r>
            <w:r>
              <w:rPr>
                <w:rFonts w:hint="eastAsia" w:ascii="仿宋" w:hAnsi="仿宋" w:eastAsia="仿宋" w:cs="仿宋"/>
                <w:sz w:val="24"/>
              </w:rPr>
              <w:t>。</w:t>
            </w:r>
          </w:p>
          <w:p>
            <w:pPr>
              <w:spacing w:line="360" w:lineRule="exact"/>
              <w:ind w:firstLine="480" w:firstLineChars="200"/>
              <w:rPr>
                <w:rFonts w:hint="eastAsia" w:ascii="仿宋" w:hAnsi="仿宋" w:eastAsia="仿宋" w:cs="仿宋"/>
                <w:sz w:val="24"/>
              </w:rPr>
            </w:pP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长期给本科生与研究生主讲</w:t>
            </w:r>
            <w:r>
              <w:rPr>
                <w:rFonts w:hint="eastAsia" w:ascii="仿宋" w:hAnsi="仿宋" w:eastAsia="仿宋" w:cs="仿宋"/>
                <w:b/>
                <w:bCs/>
                <w:sz w:val="24"/>
              </w:rPr>
              <w:t>《民法总则》《民法分则》《人格权法》《婚姻家庭法》等课程</w:t>
            </w:r>
            <w:r>
              <w:rPr>
                <w:rFonts w:hint="eastAsia" w:ascii="仿宋" w:hAnsi="仿宋" w:eastAsia="仿宋" w:cs="仿宋"/>
                <w:sz w:val="24"/>
              </w:rPr>
              <w:t>，教学效果突出。</w:t>
            </w:r>
            <w:r>
              <w:rPr>
                <w:rFonts w:hint="eastAsia" w:ascii="仿宋" w:hAnsi="仿宋" w:eastAsia="仿宋" w:cs="仿宋"/>
                <w:b/>
                <w:bCs/>
                <w:sz w:val="24"/>
              </w:rPr>
              <w:t>担任国家级精品资源共享课《民法学》、国家级与重庆市级视频公开课《民法精神与社会文明》的主讲教师</w:t>
            </w:r>
            <w:r>
              <w:rPr>
                <w:rFonts w:hint="eastAsia" w:ascii="仿宋" w:hAnsi="仿宋" w:eastAsia="仿宋" w:cs="仿宋"/>
                <w:sz w:val="24"/>
              </w:rPr>
              <w:t>，深入探索精品课程资源嵌入传统课堂教学的</w:t>
            </w:r>
            <w:r>
              <w:rPr>
                <w:rFonts w:hint="eastAsia" w:ascii="仿宋" w:hAnsi="仿宋" w:eastAsia="仿宋" w:cs="仿宋"/>
                <w:b/>
                <w:bCs/>
                <w:sz w:val="24"/>
              </w:rPr>
              <w:t>反转式教学改革</w:t>
            </w:r>
            <w:r>
              <w:rPr>
                <w:rFonts w:hint="eastAsia" w:ascii="仿宋" w:hAnsi="仿宋" w:eastAsia="仿宋" w:cs="仿宋"/>
                <w:sz w:val="24"/>
              </w:rPr>
              <w:t>。担任</w:t>
            </w:r>
            <w:r>
              <w:rPr>
                <w:rFonts w:hint="eastAsia" w:ascii="仿宋" w:hAnsi="仿宋" w:eastAsia="仿宋" w:cs="仿宋"/>
                <w:b/>
                <w:bCs/>
                <w:sz w:val="24"/>
              </w:rPr>
              <w:t>国家教育干部网络学院“国培计划”视频公开课《民法学》课程</w:t>
            </w:r>
            <w:r>
              <w:rPr>
                <w:rFonts w:hint="eastAsia" w:ascii="仿宋" w:hAnsi="仿宋" w:eastAsia="仿宋" w:cs="仿宋"/>
                <w:sz w:val="24"/>
              </w:rPr>
              <w:t>主讲人。长期担任法学实验班及普通班本科生导师，积极探索法学本科生法学职业素养</w:t>
            </w:r>
            <w:r>
              <w:rPr>
                <w:rFonts w:hint="eastAsia" w:ascii="仿宋" w:hAnsi="仿宋" w:eastAsia="仿宋" w:cs="仿宋"/>
                <w:b/>
                <w:bCs/>
                <w:sz w:val="24"/>
              </w:rPr>
              <w:t>早期启发与自觉养成培养机制</w:t>
            </w:r>
            <w:r>
              <w:rPr>
                <w:rFonts w:hint="eastAsia" w:ascii="仿宋" w:hAnsi="仿宋" w:eastAsia="仿宋" w:cs="仿宋"/>
                <w:sz w:val="24"/>
              </w:rPr>
              <w:t>、研究生作为本科生副导师参与学生培养的训练机制，以及以科研项目为抓手的本科生科研能力提升训练机制等。</w:t>
            </w:r>
          </w:p>
          <w:p>
            <w:pPr>
              <w:spacing w:line="360" w:lineRule="exact"/>
              <w:ind w:firstLine="480" w:firstLineChars="200"/>
              <w:rPr>
                <w:rFonts w:hint="eastAsia" w:ascii="楷体_GB2312" w:hAnsi="楷体" w:eastAsia="楷体_GB2312"/>
                <w:b/>
                <w:color w:val="000000"/>
                <w:sz w:val="24"/>
              </w:rPr>
            </w:pPr>
            <w:r>
              <w:rPr>
                <w:rFonts w:hint="eastAsia" w:ascii="仿宋" w:hAnsi="仿宋" w:eastAsia="仿宋" w:cs="仿宋"/>
                <w:sz w:val="24"/>
              </w:rPr>
              <w:t>入选</w:t>
            </w:r>
            <w:r>
              <w:rPr>
                <w:rFonts w:hint="eastAsia" w:ascii="仿宋" w:hAnsi="仿宋" w:eastAsia="仿宋" w:cs="仿宋"/>
                <w:b/>
                <w:bCs/>
                <w:sz w:val="24"/>
              </w:rPr>
              <w:t>重庆市“巴渝学者”特聘教授</w:t>
            </w:r>
            <w:r>
              <w:rPr>
                <w:rFonts w:hint="eastAsia" w:ascii="仿宋" w:hAnsi="仿宋" w:eastAsia="仿宋" w:cs="仿宋"/>
                <w:sz w:val="24"/>
              </w:rPr>
              <w:t>、</w:t>
            </w:r>
            <w:r>
              <w:rPr>
                <w:rFonts w:hint="eastAsia" w:ascii="仿宋" w:hAnsi="仿宋" w:eastAsia="仿宋" w:cs="仿宋"/>
                <w:b/>
                <w:bCs/>
                <w:sz w:val="24"/>
              </w:rPr>
              <w:t>重庆市高校优秀中青年骨干教师</w:t>
            </w:r>
            <w:r>
              <w:rPr>
                <w:rFonts w:hint="eastAsia" w:ascii="仿宋" w:hAnsi="仿宋" w:eastAsia="仿宋" w:cs="仿宋"/>
                <w:sz w:val="24"/>
              </w:rPr>
              <w:t>。获得“中国法学教育研究成果奖（三等奖）”、“金平教育基金永泰教育贡献奖”、“金平教育基金柯泰教书育人奖”、西南政法大学“金杜毓秀”学者奖、2018年度“西政好老师”、西南政法大学优秀研究生指导教师、西南政法大学“支持学生工作贡献奖”，等</w:t>
            </w:r>
            <w:r>
              <w:rPr>
                <w:rFonts w:hint="eastAsia" w:ascii="仿宋" w:hAnsi="仿宋" w:eastAsia="仿宋" w:cs="仿宋"/>
                <w:b/>
                <w:bCs/>
                <w:sz w:val="24"/>
              </w:rPr>
              <w:t>教书育人、教育改革类奖项及荣誉</w:t>
            </w:r>
            <w:r>
              <w:rPr>
                <w:rFonts w:hint="eastAsia" w:ascii="仿宋" w:hAnsi="仿宋" w:eastAsia="仿宋" w:cs="仿宋"/>
                <w:sz w:val="24"/>
              </w:rPr>
              <w:t>。</w:t>
            </w:r>
          </w:p>
          <w:p>
            <w:pPr>
              <w:tabs>
                <w:tab w:val="left" w:pos="4185"/>
              </w:tabs>
              <w:snapToGrid w:val="0"/>
              <w:jc w:val="left"/>
              <w:rPr>
                <w:rFonts w:hint="eastAsia" w:ascii="楷体_GB2312" w:hAnsi="楷体"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3" w:hRule="atLeast"/>
        </w:trPr>
        <w:tc>
          <w:tcPr>
            <w:tcW w:w="8829" w:type="dxa"/>
            <w:gridSpan w:val="5"/>
            <w:tcBorders>
              <w:top w:val="single" w:color="auto" w:sz="4" w:space="0"/>
              <w:bottom w:val="single" w:color="000000" w:sz="4" w:space="0"/>
            </w:tcBorders>
            <w:vAlign w:val="center"/>
          </w:tcPr>
          <w:p>
            <w:pPr>
              <w:tabs>
                <w:tab w:val="left" w:pos="4185"/>
              </w:tabs>
              <w:snapToGrid w:val="0"/>
              <w:rPr>
                <w:rFonts w:cs="Arial"/>
                <w:b/>
                <w:kern w:val="0"/>
                <w:sz w:val="30"/>
                <w:szCs w:val="30"/>
              </w:rPr>
            </w:pPr>
          </w:p>
          <w:p>
            <w:pPr>
              <w:tabs>
                <w:tab w:val="left" w:pos="4185"/>
              </w:tabs>
              <w:snapToGrid w:val="0"/>
              <w:jc w:val="center"/>
              <w:rPr>
                <w:rFonts w:cs="Arial"/>
                <w:b/>
                <w:kern w:val="0"/>
                <w:sz w:val="30"/>
                <w:szCs w:val="30"/>
              </w:rPr>
            </w:pPr>
            <w:r>
              <w:rPr>
                <w:rFonts w:hint="eastAsia" w:cs="Arial"/>
                <w:b/>
                <w:kern w:val="0"/>
                <w:sz w:val="30"/>
                <w:szCs w:val="30"/>
              </w:rPr>
              <w:t>在法治宣传方面</w:t>
            </w:r>
            <w:r>
              <w:rPr>
                <w:rFonts w:cs="Arial"/>
                <w:b/>
                <w:kern w:val="0"/>
                <w:sz w:val="30"/>
                <w:szCs w:val="30"/>
              </w:rPr>
              <w:t>的贡献</w:t>
            </w:r>
          </w:p>
          <w:p>
            <w:pPr>
              <w:tabs>
                <w:tab w:val="left" w:pos="4185"/>
              </w:tabs>
              <w:snapToGrid w:val="0"/>
              <w:jc w:val="center"/>
              <w:rPr>
                <w:rFonts w:hint="eastAsia" w:cs="Arial"/>
                <w:b/>
                <w:kern w:val="0"/>
                <w:sz w:val="30"/>
                <w:szCs w:val="30"/>
              </w:rPr>
            </w:pPr>
          </w:p>
          <w:p>
            <w:pPr>
              <w:tabs>
                <w:tab w:val="left" w:pos="4185"/>
              </w:tabs>
              <w:snapToGrid w:val="0"/>
              <w:ind w:firstLine="482" w:firstLineChars="200"/>
              <w:jc w:val="left"/>
              <w:rPr>
                <w:rFonts w:hint="eastAsia" w:ascii="楷体_GB2312" w:hAnsi="楷体" w:eastAsia="楷体_GB2312"/>
                <w:b/>
                <w:color w:val="000000"/>
                <w:sz w:val="24"/>
              </w:rPr>
            </w:pPr>
            <w:r>
              <w:rPr>
                <w:rFonts w:hint="eastAsia" w:ascii="楷体_GB2312" w:hAnsi="楷体" w:eastAsia="楷体_GB2312"/>
                <w:b/>
                <w:color w:val="000000"/>
                <w:sz w:val="24"/>
              </w:rPr>
              <w:t>（如担任法治宣讲活动主讲人、在媒体上发表法治宣传文章等。）</w:t>
            </w:r>
          </w:p>
          <w:p>
            <w:pPr>
              <w:tabs>
                <w:tab w:val="left" w:pos="4185"/>
              </w:tabs>
              <w:snapToGrid w:val="0"/>
              <w:spacing w:line="360" w:lineRule="auto"/>
              <w:ind w:firstLine="480" w:firstLineChars="200"/>
              <w:jc w:val="left"/>
              <w:rPr>
                <w:rFonts w:hint="eastAsia" w:ascii="宋体" w:hAnsi="宋体" w:cs="Book Antiqua"/>
                <w:kern w:val="0"/>
                <w:sz w:val="24"/>
              </w:rPr>
            </w:pPr>
          </w:p>
          <w:p>
            <w:pPr>
              <w:spacing w:line="360" w:lineRule="exact"/>
              <w:ind w:firstLine="482" w:firstLineChars="200"/>
              <w:rPr>
                <w:rFonts w:hint="eastAsia" w:ascii="仿宋" w:hAnsi="仿宋" w:eastAsia="仿宋" w:cs="仿宋"/>
                <w:sz w:val="24"/>
              </w:rPr>
            </w:pPr>
            <w:r>
              <w:rPr>
                <w:rFonts w:hint="eastAsia" w:ascii="仿宋" w:hAnsi="仿宋" w:eastAsia="仿宋" w:cs="仿宋"/>
                <w:b/>
                <w:bCs/>
                <w:sz w:val="24"/>
              </w:rPr>
              <w:t>重庆市图书馆公益大讲堂讲座专家</w:t>
            </w:r>
            <w:r>
              <w:rPr>
                <w:rFonts w:hint="eastAsia" w:ascii="仿宋" w:hAnsi="仿宋" w:eastAsia="仿宋" w:cs="仿宋"/>
                <w:sz w:val="24"/>
              </w:rPr>
              <w:t>，</w:t>
            </w:r>
            <w:r>
              <w:rPr>
                <w:rFonts w:hint="eastAsia" w:ascii="仿宋" w:hAnsi="仿宋" w:eastAsia="仿宋" w:cs="仿宋"/>
                <w:b/>
                <w:bCs/>
                <w:sz w:val="24"/>
              </w:rPr>
              <w:t>重庆市电视台法治栏目特约专家评论员</w:t>
            </w:r>
            <w:r>
              <w:rPr>
                <w:rFonts w:hint="eastAsia" w:ascii="仿宋" w:hAnsi="仿宋" w:eastAsia="仿宋" w:cs="仿宋"/>
                <w:sz w:val="24"/>
              </w:rPr>
              <w:t>。先后参与</w:t>
            </w:r>
            <w:r>
              <w:rPr>
                <w:rFonts w:hint="eastAsia" w:ascii="仿宋" w:hAnsi="仿宋" w:eastAsia="仿宋" w:cs="仿宋"/>
                <w:b/>
                <w:bCs/>
                <w:sz w:val="24"/>
              </w:rPr>
              <w:t>《拍案说法》《新闻解码》等法治节目30余期</w:t>
            </w:r>
            <w:r>
              <w:rPr>
                <w:rFonts w:hint="eastAsia" w:ascii="仿宋" w:hAnsi="仿宋" w:eastAsia="仿宋" w:cs="仿宋"/>
                <w:sz w:val="24"/>
              </w:rPr>
              <w:t>。接受《</w:t>
            </w:r>
            <w:r>
              <w:rPr>
                <w:rFonts w:hint="eastAsia" w:ascii="仿宋" w:hAnsi="仿宋" w:eastAsia="仿宋" w:cs="仿宋"/>
                <w:b/>
                <w:bCs/>
                <w:sz w:val="24"/>
              </w:rPr>
              <w:t>检察日报》《中国青年报》《正义网》等报纸或媒体专业采访20余次</w:t>
            </w:r>
            <w:r>
              <w:rPr>
                <w:rFonts w:hint="eastAsia" w:ascii="仿宋" w:hAnsi="仿宋" w:eastAsia="仿宋" w:cs="仿宋"/>
                <w:sz w:val="24"/>
              </w:rPr>
              <w:t>。作为主讲人录制的国家教育干部网络学院“国培计划”普法类课程《民法学》，已成为我国中小学教育工作者法治理论学习的基本网络课程资源。近年来，围绕我国民法典编纂，对各级各类法院、检察院、政府机关、律师事务所、企事业单位、社区进行专题宣讲、讲座30余场。</w:t>
            </w:r>
          </w:p>
          <w:p>
            <w:pPr>
              <w:spacing w:line="360" w:lineRule="exact"/>
              <w:ind w:firstLine="480" w:firstLineChars="200"/>
              <w:rPr>
                <w:rFonts w:hint="eastAsia" w:ascii="仿宋" w:hAnsi="仿宋" w:eastAsia="仿宋" w:cs="仿宋"/>
                <w:sz w:val="24"/>
              </w:rPr>
            </w:pP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在《中国经济报告》发表</w:t>
            </w:r>
            <w:r>
              <w:rPr>
                <w:rFonts w:hint="eastAsia" w:ascii="仿宋" w:hAnsi="仿宋" w:eastAsia="仿宋" w:cs="仿宋"/>
                <w:b/>
                <w:bCs/>
                <w:sz w:val="24"/>
              </w:rPr>
              <w:t>法治宣传文章《中国民法典编纂：目标、任务与路径》</w:t>
            </w:r>
            <w:r>
              <w:rPr>
                <w:rFonts w:hint="eastAsia" w:ascii="仿宋" w:hAnsi="仿宋" w:eastAsia="仿宋" w:cs="仿宋"/>
                <w:sz w:val="24"/>
              </w:rPr>
              <w:t>，在《中国审判》发表</w:t>
            </w:r>
            <w:r>
              <w:rPr>
                <w:rFonts w:hint="eastAsia" w:ascii="仿宋" w:hAnsi="仿宋" w:eastAsia="仿宋" w:cs="仿宋"/>
                <w:b/>
                <w:bCs/>
                <w:sz w:val="24"/>
              </w:rPr>
              <w:t>法治宣传文章《侵权责任认定中对“非典型见义勇为”的保障》</w:t>
            </w:r>
            <w:r>
              <w:rPr>
                <w:rFonts w:hint="eastAsia" w:ascii="仿宋" w:hAnsi="仿宋" w:eastAsia="仿宋" w:cs="仿宋"/>
                <w:sz w:val="24"/>
              </w:rPr>
              <w:t>，等。</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受委托参与</w:t>
            </w:r>
            <w:r>
              <w:rPr>
                <w:rFonts w:hint="eastAsia" w:ascii="仿宋" w:hAnsi="仿宋" w:eastAsia="仿宋" w:cs="仿宋"/>
                <w:b/>
                <w:bCs/>
                <w:sz w:val="24"/>
              </w:rPr>
              <w:t>《重庆市国有土地上房屋征收条例》《前海深港合作区创新保护条例》等地方性法规的草案撰写等立法活动，参与重庆市地方立法清理工作</w:t>
            </w:r>
            <w:r>
              <w:rPr>
                <w:rFonts w:hint="eastAsia" w:ascii="仿宋" w:hAnsi="仿宋" w:eastAsia="仿宋" w:cs="仿宋"/>
                <w:sz w:val="24"/>
              </w:rPr>
              <w:t>。</w:t>
            </w:r>
          </w:p>
          <w:p>
            <w:pPr>
              <w:spacing w:line="360" w:lineRule="exact"/>
              <w:rPr>
                <w:rFonts w:hint="eastAsia" w:ascii="仿宋" w:hAnsi="仿宋" w:eastAsia="仿宋" w:cs="仿宋"/>
                <w:sz w:val="24"/>
              </w:rPr>
            </w:pPr>
          </w:p>
          <w:p>
            <w:pPr>
              <w:spacing w:line="360" w:lineRule="exact"/>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4" w:hRule="atLeast"/>
        </w:trPr>
        <w:tc>
          <w:tcPr>
            <w:tcW w:w="8829" w:type="dxa"/>
            <w:gridSpan w:val="5"/>
            <w:tcBorders>
              <w:top w:val="single" w:color="auto" w:sz="4" w:space="0"/>
              <w:bottom w:val="single" w:color="000000" w:sz="4" w:space="0"/>
            </w:tcBorders>
            <w:vAlign w:val="center"/>
          </w:tcPr>
          <w:p>
            <w:pPr>
              <w:tabs>
                <w:tab w:val="left" w:pos="4185"/>
              </w:tabs>
              <w:snapToGrid w:val="0"/>
              <w:rPr>
                <w:rFonts w:hint="eastAsia" w:cs="Arial"/>
                <w:b/>
                <w:kern w:val="0"/>
                <w:sz w:val="30"/>
                <w:szCs w:val="30"/>
              </w:rPr>
            </w:pPr>
          </w:p>
          <w:p>
            <w:pPr>
              <w:tabs>
                <w:tab w:val="left" w:pos="4185"/>
              </w:tabs>
              <w:snapToGrid w:val="0"/>
              <w:jc w:val="center"/>
              <w:rPr>
                <w:rFonts w:cs="Arial"/>
                <w:b/>
                <w:kern w:val="0"/>
                <w:sz w:val="30"/>
                <w:szCs w:val="30"/>
              </w:rPr>
            </w:pPr>
            <w:r>
              <w:rPr>
                <w:rFonts w:hint="eastAsia" w:cs="Arial"/>
                <w:b/>
                <w:kern w:val="0"/>
                <w:sz w:val="30"/>
                <w:szCs w:val="30"/>
              </w:rPr>
              <w:t>在法治实践方面</w:t>
            </w:r>
            <w:r>
              <w:rPr>
                <w:rFonts w:cs="Arial"/>
                <w:b/>
                <w:kern w:val="0"/>
                <w:sz w:val="30"/>
                <w:szCs w:val="30"/>
              </w:rPr>
              <w:t>的贡献</w:t>
            </w:r>
          </w:p>
          <w:p>
            <w:pPr>
              <w:tabs>
                <w:tab w:val="left" w:pos="4185"/>
              </w:tabs>
              <w:snapToGrid w:val="0"/>
              <w:jc w:val="center"/>
              <w:rPr>
                <w:rFonts w:hint="eastAsia" w:cs="Arial"/>
                <w:b/>
                <w:kern w:val="0"/>
                <w:sz w:val="30"/>
                <w:szCs w:val="30"/>
              </w:rPr>
            </w:pPr>
          </w:p>
          <w:p>
            <w:pPr>
              <w:tabs>
                <w:tab w:val="left" w:pos="4185"/>
              </w:tabs>
              <w:snapToGrid w:val="0"/>
              <w:ind w:firstLine="482" w:firstLineChars="200"/>
              <w:jc w:val="left"/>
              <w:rPr>
                <w:rFonts w:hint="eastAsia" w:ascii="楷体_GB2312" w:hAnsi="楷体" w:eastAsia="楷体_GB2312"/>
                <w:b/>
                <w:color w:val="000000"/>
                <w:sz w:val="24"/>
              </w:rPr>
            </w:pPr>
            <w:r>
              <w:rPr>
                <w:rFonts w:hint="eastAsia" w:ascii="楷体_GB2312" w:hAnsi="楷体" w:eastAsia="楷体_GB2312"/>
                <w:b/>
                <w:color w:val="000000"/>
                <w:sz w:val="24"/>
              </w:rPr>
              <w:t>（如在实务部门挂职、参与重大案件论证、仲裁等。）</w:t>
            </w:r>
          </w:p>
          <w:p>
            <w:pPr>
              <w:tabs>
                <w:tab w:val="left" w:pos="4185"/>
              </w:tabs>
              <w:snapToGrid w:val="0"/>
              <w:spacing w:line="360" w:lineRule="auto"/>
              <w:ind w:firstLine="480" w:firstLineChars="200"/>
              <w:jc w:val="left"/>
              <w:rPr>
                <w:rFonts w:hint="eastAsia" w:ascii="仿宋" w:hAnsi="仿宋" w:eastAsia="仿宋" w:cs="仿宋"/>
                <w:sz w:val="24"/>
              </w:rPr>
            </w:pP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担任重庆仲裁委员会、珠海仲裁委员会、遵义仲裁委员会、泸州仲裁委员会、包头仲裁委员会、鄂尔多斯仲裁委员会、台州仲裁委员会等</w:t>
            </w:r>
            <w:r>
              <w:rPr>
                <w:rFonts w:hint="eastAsia" w:ascii="仿宋" w:hAnsi="仿宋" w:eastAsia="仿宋" w:cs="仿宋"/>
                <w:b/>
                <w:bCs/>
                <w:sz w:val="24"/>
              </w:rPr>
              <w:t>仲裁机构仲裁员</w:t>
            </w:r>
            <w:r>
              <w:rPr>
                <w:rFonts w:hint="eastAsia" w:ascii="仿宋" w:hAnsi="仿宋" w:eastAsia="仿宋" w:cs="仿宋"/>
                <w:sz w:val="24"/>
              </w:rPr>
              <w:t>。作为首席仲裁员及独任、边裁裁决案件60余件。</w:t>
            </w:r>
          </w:p>
          <w:p>
            <w:pPr>
              <w:spacing w:line="360" w:lineRule="exact"/>
              <w:ind w:firstLine="480" w:firstLineChars="200"/>
              <w:rPr>
                <w:rFonts w:hint="eastAsia" w:ascii="仿宋" w:hAnsi="仿宋" w:eastAsia="仿宋" w:cs="仿宋"/>
                <w:sz w:val="24"/>
              </w:rPr>
            </w:pP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担任</w:t>
            </w:r>
            <w:r>
              <w:rPr>
                <w:rFonts w:hint="eastAsia" w:ascii="仿宋" w:hAnsi="仿宋" w:eastAsia="仿宋" w:cs="仿宋"/>
                <w:b/>
                <w:bCs/>
                <w:sz w:val="24"/>
              </w:rPr>
              <w:t>重庆市检察院民事行政检察专家委员会委员</w:t>
            </w:r>
            <w:r>
              <w:rPr>
                <w:rFonts w:hint="eastAsia" w:ascii="仿宋" w:hAnsi="仿宋" w:eastAsia="仿宋" w:cs="仿宋"/>
                <w:sz w:val="24"/>
              </w:rPr>
              <w:t>，参与重庆市检察院系统重大疑难案件讨论10余次。</w:t>
            </w:r>
          </w:p>
          <w:p>
            <w:pPr>
              <w:spacing w:line="360" w:lineRule="exact"/>
              <w:rPr>
                <w:rFonts w:hint="eastAsia" w:ascii="仿宋" w:hAnsi="仿宋" w:eastAsia="仿宋" w:cs="仿宋"/>
                <w:sz w:val="24"/>
              </w:rPr>
            </w:pPr>
          </w:p>
          <w:p>
            <w:pPr>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829" w:type="dxa"/>
            <w:gridSpan w:val="5"/>
            <w:tcBorders>
              <w:top w:val="single" w:color="auto" w:sz="4" w:space="0"/>
              <w:bottom w:val="single" w:color="000000" w:sz="4" w:space="0"/>
            </w:tcBorders>
            <w:vAlign w:val="center"/>
          </w:tcPr>
          <w:p>
            <w:pPr>
              <w:tabs>
                <w:tab w:val="left" w:pos="4185"/>
              </w:tabs>
              <w:snapToGrid w:val="0"/>
              <w:jc w:val="center"/>
              <w:rPr>
                <w:rFonts w:hint="eastAsia" w:cs="Arial"/>
                <w:bCs/>
                <w:kern w:val="0"/>
                <w:sz w:val="30"/>
                <w:szCs w:val="30"/>
              </w:rPr>
            </w:pPr>
          </w:p>
          <w:p>
            <w:pPr>
              <w:tabs>
                <w:tab w:val="left" w:pos="4185"/>
              </w:tabs>
              <w:snapToGrid w:val="0"/>
              <w:jc w:val="center"/>
              <w:rPr>
                <w:rFonts w:hint="eastAsia" w:cs="Arial"/>
                <w:b/>
                <w:kern w:val="0"/>
                <w:sz w:val="30"/>
                <w:szCs w:val="30"/>
              </w:rPr>
            </w:pPr>
            <w:r>
              <w:rPr>
                <w:rFonts w:hint="eastAsia" w:cs="Arial"/>
                <w:b/>
                <w:kern w:val="0"/>
                <w:sz w:val="30"/>
                <w:szCs w:val="30"/>
              </w:rPr>
              <w:t>获得奖项和表彰</w:t>
            </w:r>
          </w:p>
          <w:p>
            <w:pPr>
              <w:tabs>
                <w:tab w:val="left" w:pos="4185"/>
              </w:tabs>
              <w:snapToGrid w:val="0"/>
              <w:jc w:val="center"/>
              <w:rPr>
                <w:rFonts w:hint="eastAsia" w:cs="Arial"/>
                <w:b/>
                <w:kern w:val="0"/>
                <w:sz w:val="30"/>
                <w:szCs w:val="30"/>
              </w:rPr>
            </w:pPr>
          </w:p>
          <w:p>
            <w:pPr>
              <w:tabs>
                <w:tab w:val="left" w:pos="4185"/>
              </w:tabs>
              <w:snapToGrid w:val="0"/>
              <w:ind w:firstLine="482" w:firstLineChars="200"/>
              <w:jc w:val="left"/>
              <w:rPr>
                <w:rFonts w:hint="eastAsia" w:ascii="楷体" w:hAnsi="楷体" w:eastAsia="楷体" w:cs="Arial"/>
                <w:b/>
                <w:kern w:val="0"/>
                <w:sz w:val="24"/>
              </w:rPr>
            </w:pPr>
            <w:r>
              <w:rPr>
                <w:rFonts w:hint="eastAsia" w:ascii="楷体" w:hAnsi="楷体" w:eastAsia="楷体" w:cs="Arial"/>
                <w:b/>
                <w:kern w:val="0"/>
                <w:sz w:val="24"/>
              </w:rPr>
              <w:t>（请注明获得时间及等级）</w:t>
            </w:r>
          </w:p>
          <w:p>
            <w:pPr>
              <w:tabs>
                <w:tab w:val="left" w:pos="4185"/>
              </w:tabs>
              <w:snapToGrid w:val="0"/>
              <w:jc w:val="center"/>
              <w:rPr>
                <w:rFonts w:hint="eastAsia" w:cs="Arial"/>
                <w:b/>
                <w:kern w:val="0"/>
                <w:sz w:val="30"/>
                <w:szCs w:val="30"/>
              </w:rPr>
            </w:pP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1.于2018.12独立入选中共重庆市委组织部的重庆市高层次人才特殊支持计划（哲学社会科学领军人才）（省部级）。</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2.于2018.12独立入选重庆市教育委员会的“巴渝学者”计划（省部级）。</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3.《民法转型的法源缺陷：形式化、制定法优位及其校正》（论文）于2017.12独立获得由中国法学会授予的第四届中国法学优秀成果奖三等奖（省部级）。</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4.《民法转型的法源缺陷：形式化、制定法优位及其校正》（论文）于2018.09独立获得由重庆市人民政府授予的重庆市社科优秀成果二等奖（省部级）。</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5.《临界点视阈下民法典继承编基本原则之建构》（论文）于2018.07团队获得中国法学会婚姻法学研究会授予的2017－2018年度优秀科研成果奖三等奖（厅局级）。</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6.《“互联网+公共图书馆”的版权保护困境及突破——兼评国际图联（IFLA）关于数字环境下版权保护的立场》（论文）于2016.11独立获得由中国法学会授予的第十一届中国法学青年论坛“互联网治理与法治发展”主题征文三等奖（省部级）。</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7.《全面依法治国背景下预防法学对“枫桥经验”的创新性实践》（论文）于2018.10团队获得由中国法学会授予的第十三届“泛珠三角合作与发展法治论坛”征文活动一等奖（省部级）。</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8.《法院调解先例初探》（论文）于2012.12独立获得中国法学会授予的第七届中国法学青年论坛“中国调解:理论与实践”主题征文三等奖（省部级）。</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9.《从教育到实践：论法学硕士“理论型”定位培养的困境与出路》（论文）于2015.11独立获得由教育部高校法学类专业教学指导委员会授予的第四届中国法学教育成果三等奖（省部级）。</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10.《民法转型的法源缺陷：形式化、制定法优位及其校正》（论文）于2017.07独立获得由教育部高校法学类专业教学指导委员会授予的中国法学会法学教育研究会第五届中国法律文化研究成果二等奖（省部级）。</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11.《我国现代大学制度中办学自主权的落实机制》（论文）于2013.05独立获得重庆市教育委员会授予的重庆市现代学校制度研究成果奖一等奖（厅局级）。</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12.《社会转型期俄罗斯的公共所有权制度——兼论公共所有权与私人所有权的制度关系》（论文）于2013年1月独立获得第一届法学博士后科研成果奖评审委员会授予的第一届法学博士后科研成果奖优秀奖。</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13.《信用社会的软法治理——以赔礼道歉的法制化为视角》（论文）于2012年9月独立获得第二届京津沪渝法治论坛组委会授予的第二届“京津沪渝法治论坛”三等奖。</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14.于2015.12独立获得重庆市金平法学教育基金会授予的永泰教学贡献奖（厅局级）。</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15.于2018.01独立获得重庆市金平法学教育基金会授予的柯泰教书育人奖（厅局级）。</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16.于2016.09独立获得西南政法大学授予的西南政法大学优秀研究生指导教师荣誉称号（校级）。</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17.于2018.09独立获得西南政法大学授予的“西政好老师”荣誉称号（校级）。</w:t>
            </w:r>
          </w:p>
          <w:p>
            <w:pPr>
              <w:spacing w:line="360" w:lineRule="exact"/>
              <w:ind w:firstLine="480" w:firstLineChars="200"/>
              <w:rPr>
                <w:rFonts w:hint="eastAsia" w:ascii="仿宋" w:hAnsi="仿宋" w:eastAsia="仿宋" w:cs="仿宋"/>
                <w:sz w:val="24"/>
              </w:rPr>
            </w:pPr>
          </w:p>
          <w:p>
            <w:pPr>
              <w:tabs>
                <w:tab w:val="left" w:pos="4185"/>
              </w:tabs>
              <w:snapToGrid w:val="0"/>
              <w:jc w:val="left"/>
              <w:rPr>
                <w:rFonts w:hint="eastAsia" w:cs="Arial"/>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8" w:hRule="atLeast"/>
        </w:trPr>
        <w:tc>
          <w:tcPr>
            <w:tcW w:w="8829" w:type="dxa"/>
            <w:gridSpan w:val="5"/>
            <w:tcBorders>
              <w:top w:val="single" w:color="auto" w:sz="4" w:space="0"/>
              <w:bottom w:val="single" w:color="000000" w:sz="4" w:space="0"/>
            </w:tcBorders>
            <w:vAlign w:val="center"/>
          </w:tcPr>
          <w:p>
            <w:pPr>
              <w:tabs>
                <w:tab w:val="left" w:pos="4185"/>
              </w:tabs>
              <w:snapToGrid w:val="0"/>
              <w:rPr>
                <w:rFonts w:hint="eastAsia" w:cs="Arial"/>
                <w:b/>
                <w:kern w:val="0"/>
                <w:sz w:val="30"/>
                <w:szCs w:val="30"/>
              </w:rPr>
            </w:pPr>
          </w:p>
          <w:p>
            <w:pPr>
              <w:tabs>
                <w:tab w:val="left" w:pos="4185"/>
              </w:tabs>
              <w:snapToGrid w:val="0"/>
              <w:jc w:val="center"/>
              <w:rPr>
                <w:rFonts w:cs="Arial"/>
                <w:b/>
                <w:kern w:val="0"/>
                <w:sz w:val="30"/>
                <w:szCs w:val="30"/>
              </w:rPr>
            </w:pPr>
            <w:r>
              <w:rPr>
                <w:rFonts w:hint="eastAsia" w:cs="Arial"/>
                <w:b/>
                <w:kern w:val="0"/>
                <w:sz w:val="30"/>
                <w:szCs w:val="30"/>
              </w:rPr>
              <w:t>学术职务及其他重要社会兼职</w:t>
            </w:r>
          </w:p>
          <w:p>
            <w:pPr>
              <w:tabs>
                <w:tab w:val="left" w:pos="4185"/>
              </w:tabs>
              <w:snapToGrid w:val="0"/>
              <w:rPr>
                <w:rFonts w:hint="eastAsia" w:cs="Arial"/>
                <w:b/>
                <w:kern w:val="0"/>
                <w:sz w:val="30"/>
                <w:szCs w:val="30"/>
              </w:rPr>
            </w:pP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1.中国法学会民法学研究会理事。</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2.中国法学会婚姻家庭法学研究会理事。</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3.中国法学会比较法学研究会理事。</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4.深圳前海法律研究院研究员。</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5.重庆市检察院民事行政检察专家委员会委员。</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6.重庆市国有土地上房屋征收评估专家委员会委员。</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7.重庆仲裁委员会、珠海仲裁委员会、遵义仲裁委员会、泸州仲裁委员会、包头仲裁委员会、鄂尔多斯仲裁委员会、台州仲裁委员会等仲裁机构仲裁员。</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8.京师（重庆）教育学院院长。</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9.重庆市电视台等法制栏目特约专家评论员。</w:t>
            </w:r>
          </w:p>
          <w:p>
            <w:pPr>
              <w:tabs>
                <w:tab w:val="left" w:pos="4185"/>
              </w:tabs>
              <w:snapToGrid w:val="0"/>
              <w:jc w:val="left"/>
              <w:rPr>
                <w:rFonts w:hint="eastAsia" w:cs="Arial"/>
                <w:kern w:val="0"/>
                <w:sz w:val="32"/>
                <w:szCs w:val="32"/>
              </w:rPr>
            </w:pPr>
          </w:p>
          <w:p>
            <w:pPr>
              <w:tabs>
                <w:tab w:val="left" w:pos="4185"/>
              </w:tabs>
              <w:snapToGrid w:val="0"/>
              <w:jc w:val="left"/>
              <w:rPr>
                <w:rFonts w:hint="eastAsia" w:cs="Arial"/>
                <w:kern w:val="0"/>
                <w:sz w:val="32"/>
                <w:szCs w:val="32"/>
              </w:rPr>
            </w:pPr>
          </w:p>
          <w:p>
            <w:pPr>
              <w:tabs>
                <w:tab w:val="left" w:pos="4185"/>
              </w:tabs>
              <w:snapToGrid w:val="0"/>
              <w:jc w:val="left"/>
              <w:rPr>
                <w:rFonts w:hint="eastAsia" w:cs="Arial"/>
                <w:kern w:val="0"/>
                <w:sz w:val="32"/>
                <w:szCs w:val="32"/>
              </w:rPr>
            </w:pPr>
          </w:p>
          <w:p>
            <w:pPr>
              <w:tabs>
                <w:tab w:val="left" w:pos="4185"/>
              </w:tabs>
              <w:snapToGrid w:val="0"/>
              <w:jc w:val="left"/>
              <w:rPr>
                <w:rFonts w:hint="eastAsia" w:cs="Arial"/>
                <w:kern w:val="0"/>
                <w:sz w:val="32"/>
                <w:szCs w:val="32"/>
              </w:rPr>
            </w:pPr>
          </w:p>
        </w:tc>
      </w:tr>
    </w:tbl>
    <w:p>
      <w:pPr>
        <w:rPr>
          <w:szCs w:val="21"/>
        </w:rPr>
      </w:pPr>
      <w:bookmarkStart w:id="0" w:name="_GoBack"/>
      <w:bookmarkEnd w:id="0"/>
    </w:p>
    <w:sectPr>
      <w:footerReference r:id="rId3"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_GBK">
    <w:altName w:val="宋体"/>
    <w:panose1 w:val="00000000000000000000"/>
    <w:charset w:val="86"/>
    <w:family w:val="script"/>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eastAsia="zh-CN"/>
      </w:rPr>
      <w:t>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44"/>
    <w:rsid w:val="000126A6"/>
    <w:rsid w:val="00015C08"/>
    <w:rsid w:val="00020615"/>
    <w:rsid w:val="00021760"/>
    <w:rsid w:val="00025E33"/>
    <w:rsid w:val="0002782A"/>
    <w:rsid w:val="00033B4E"/>
    <w:rsid w:val="000366B4"/>
    <w:rsid w:val="000436DC"/>
    <w:rsid w:val="00055B29"/>
    <w:rsid w:val="00057477"/>
    <w:rsid w:val="00057789"/>
    <w:rsid w:val="000660B3"/>
    <w:rsid w:val="000700E7"/>
    <w:rsid w:val="000722C5"/>
    <w:rsid w:val="00081D77"/>
    <w:rsid w:val="00090BD6"/>
    <w:rsid w:val="000A6601"/>
    <w:rsid w:val="000B1BB6"/>
    <w:rsid w:val="000C118D"/>
    <w:rsid w:val="000C39EA"/>
    <w:rsid w:val="000C4F18"/>
    <w:rsid w:val="000C7C6E"/>
    <w:rsid w:val="000D1083"/>
    <w:rsid w:val="000D3E01"/>
    <w:rsid w:val="000D6B7A"/>
    <w:rsid w:val="000F4CF5"/>
    <w:rsid w:val="00100554"/>
    <w:rsid w:val="001341E7"/>
    <w:rsid w:val="00136D15"/>
    <w:rsid w:val="00142623"/>
    <w:rsid w:val="001502CD"/>
    <w:rsid w:val="00151360"/>
    <w:rsid w:val="0015145A"/>
    <w:rsid w:val="0016421F"/>
    <w:rsid w:val="00183D66"/>
    <w:rsid w:val="00191FEA"/>
    <w:rsid w:val="00192085"/>
    <w:rsid w:val="001A1947"/>
    <w:rsid w:val="001B0E61"/>
    <w:rsid w:val="001B5C13"/>
    <w:rsid w:val="001E1BAC"/>
    <w:rsid w:val="001E1DB5"/>
    <w:rsid w:val="001F3B9C"/>
    <w:rsid w:val="002034AB"/>
    <w:rsid w:val="00207D31"/>
    <w:rsid w:val="00210AD4"/>
    <w:rsid w:val="00221D8F"/>
    <w:rsid w:val="00221FC1"/>
    <w:rsid w:val="00223474"/>
    <w:rsid w:val="00223B9E"/>
    <w:rsid w:val="00232F40"/>
    <w:rsid w:val="00233833"/>
    <w:rsid w:val="00233E9E"/>
    <w:rsid w:val="00237DAC"/>
    <w:rsid w:val="00243038"/>
    <w:rsid w:val="002618FF"/>
    <w:rsid w:val="0027577B"/>
    <w:rsid w:val="00280433"/>
    <w:rsid w:val="00284A60"/>
    <w:rsid w:val="00285CE8"/>
    <w:rsid w:val="002910C6"/>
    <w:rsid w:val="00296CBA"/>
    <w:rsid w:val="002A5FAD"/>
    <w:rsid w:val="002A63C4"/>
    <w:rsid w:val="002D451A"/>
    <w:rsid w:val="002D5697"/>
    <w:rsid w:val="002E2B56"/>
    <w:rsid w:val="002E41A6"/>
    <w:rsid w:val="002E6DB9"/>
    <w:rsid w:val="00307E29"/>
    <w:rsid w:val="0031054D"/>
    <w:rsid w:val="003145E4"/>
    <w:rsid w:val="00322DDA"/>
    <w:rsid w:val="00326E79"/>
    <w:rsid w:val="003351B9"/>
    <w:rsid w:val="003375C8"/>
    <w:rsid w:val="00345A50"/>
    <w:rsid w:val="00351B2A"/>
    <w:rsid w:val="00354D51"/>
    <w:rsid w:val="00361CFA"/>
    <w:rsid w:val="003635A7"/>
    <w:rsid w:val="00370876"/>
    <w:rsid w:val="003921D9"/>
    <w:rsid w:val="0039222B"/>
    <w:rsid w:val="003A3354"/>
    <w:rsid w:val="003B2447"/>
    <w:rsid w:val="003B31E5"/>
    <w:rsid w:val="003B430C"/>
    <w:rsid w:val="003C4C45"/>
    <w:rsid w:val="003C7704"/>
    <w:rsid w:val="003C77F7"/>
    <w:rsid w:val="003D2347"/>
    <w:rsid w:val="003D68C9"/>
    <w:rsid w:val="003F0112"/>
    <w:rsid w:val="00400746"/>
    <w:rsid w:val="004031C0"/>
    <w:rsid w:val="0042374B"/>
    <w:rsid w:val="00426CE3"/>
    <w:rsid w:val="004306B3"/>
    <w:rsid w:val="00432186"/>
    <w:rsid w:val="00437268"/>
    <w:rsid w:val="00444468"/>
    <w:rsid w:val="004563A6"/>
    <w:rsid w:val="004571ED"/>
    <w:rsid w:val="00460D2B"/>
    <w:rsid w:val="00462A7F"/>
    <w:rsid w:val="00464DF4"/>
    <w:rsid w:val="0047339D"/>
    <w:rsid w:val="004977DB"/>
    <w:rsid w:val="004A5A8C"/>
    <w:rsid w:val="004A6043"/>
    <w:rsid w:val="004B4D5A"/>
    <w:rsid w:val="004B6A89"/>
    <w:rsid w:val="004B7A0A"/>
    <w:rsid w:val="004D209C"/>
    <w:rsid w:val="004D2FF7"/>
    <w:rsid w:val="004E53DC"/>
    <w:rsid w:val="004E78A5"/>
    <w:rsid w:val="004F0923"/>
    <w:rsid w:val="005176DC"/>
    <w:rsid w:val="005414A5"/>
    <w:rsid w:val="00542A0C"/>
    <w:rsid w:val="00550A05"/>
    <w:rsid w:val="00575DE7"/>
    <w:rsid w:val="00576302"/>
    <w:rsid w:val="00580330"/>
    <w:rsid w:val="00587E74"/>
    <w:rsid w:val="005916F8"/>
    <w:rsid w:val="005A77BE"/>
    <w:rsid w:val="005B362A"/>
    <w:rsid w:val="005B7809"/>
    <w:rsid w:val="005C11C4"/>
    <w:rsid w:val="005C5D05"/>
    <w:rsid w:val="005C69DE"/>
    <w:rsid w:val="005C7478"/>
    <w:rsid w:val="005D19E1"/>
    <w:rsid w:val="00603919"/>
    <w:rsid w:val="00615E8D"/>
    <w:rsid w:val="00616ABE"/>
    <w:rsid w:val="00617C51"/>
    <w:rsid w:val="0062245B"/>
    <w:rsid w:val="00627A26"/>
    <w:rsid w:val="0063197A"/>
    <w:rsid w:val="00635BDD"/>
    <w:rsid w:val="006439D2"/>
    <w:rsid w:val="006725F5"/>
    <w:rsid w:val="00677D71"/>
    <w:rsid w:val="006902E1"/>
    <w:rsid w:val="00690D34"/>
    <w:rsid w:val="00690F42"/>
    <w:rsid w:val="00693E6E"/>
    <w:rsid w:val="00695D00"/>
    <w:rsid w:val="006A0944"/>
    <w:rsid w:val="006A7388"/>
    <w:rsid w:val="006C1135"/>
    <w:rsid w:val="006C4EA1"/>
    <w:rsid w:val="006C58D6"/>
    <w:rsid w:val="006E60E7"/>
    <w:rsid w:val="006F0870"/>
    <w:rsid w:val="006F4624"/>
    <w:rsid w:val="00700256"/>
    <w:rsid w:val="007063B2"/>
    <w:rsid w:val="00721782"/>
    <w:rsid w:val="00725AA0"/>
    <w:rsid w:val="0073589E"/>
    <w:rsid w:val="007444E3"/>
    <w:rsid w:val="00751F9C"/>
    <w:rsid w:val="0075412B"/>
    <w:rsid w:val="0076542A"/>
    <w:rsid w:val="00786EFB"/>
    <w:rsid w:val="007974AC"/>
    <w:rsid w:val="007A249E"/>
    <w:rsid w:val="007A533A"/>
    <w:rsid w:val="007A7E2C"/>
    <w:rsid w:val="007B31A1"/>
    <w:rsid w:val="007D2C7F"/>
    <w:rsid w:val="007E250E"/>
    <w:rsid w:val="007F051C"/>
    <w:rsid w:val="008154A7"/>
    <w:rsid w:val="00816D9D"/>
    <w:rsid w:val="00817FF1"/>
    <w:rsid w:val="00822FB7"/>
    <w:rsid w:val="00830322"/>
    <w:rsid w:val="008321E3"/>
    <w:rsid w:val="00836B39"/>
    <w:rsid w:val="008429CF"/>
    <w:rsid w:val="00851354"/>
    <w:rsid w:val="00851400"/>
    <w:rsid w:val="0085594A"/>
    <w:rsid w:val="00855A4E"/>
    <w:rsid w:val="008629CC"/>
    <w:rsid w:val="00872BEB"/>
    <w:rsid w:val="00873523"/>
    <w:rsid w:val="00875777"/>
    <w:rsid w:val="008902B3"/>
    <w:rsid w:val="00895CA6"/>
    <w:rsid w:val="008A790C"/>
    <w:rsid w:val="008B0C06"/>
    <w:rsid w:val="008B22B8"/>
    <w:rsid w:val="008C076A"/>
    <w:rsid w:val="008C58DC"/>
    <w:rsid w:val="008C74A1"/>
    <w:rsid w:val="008D1E7D"/>
    <w:rsid w:val="008F276F"/>
    <w:rsid w:val="009069BE"/>
    <w:rsid w:val="00913822"/>
    <w:rsid w:val="00917F73"/>
    <w:rsid w:val="00922561"/>
    <w:rsid w:val="00926C12"/>
    <w:rsid w:val="0093273B"/>
    <w:rsid w:val="00932812"/>
    <w:rsid w:val="009406DD"/>
    <w:rsid w:val="00954B49"/>
    <w:rsid w:val="009629D1"/>
    <w:rsid w:val="00972548"/>
    <w:rsid w:val="009732F6"/>
    <w:rsid w:val="0099761E"/>
    <w:rsid w:val="009A1D31"/>
    <w:rsid w:val="009A2323"/>
    <w:rsid w:val="009B1377"/>
    <w:rsid w:val="009B6345"/>
    <w:rsid w:val="009E4E4A"/>
    <w:rsid w:val="00A0413E"/>
    <w:rsid w:val="00A06C5C"/>
    <w:rsid w:val="00A14FD5"/>
    <w:rsid w:val="00A20409"/>
    <w:rsid w:val="00A21AF6"/>
    <w:rsid w:val="00A26210"/>
    <w:rsid w:val="00A27C68"/>
    <w:rsid w:val="00A37DB0"/>
    <w:rsid w:val="00A54223"/>
    <w:rsid w:val="00A57A0D"/>
    <w:rsid w:val="00A6372C"/>
    <w:rsid w:val="00A8048C"/>
    <w:rsid w:val="00A90132"/>
    <w:rsid w:val="00AA276E"/>
    <w:rsid w:val="00AA5839"/>
    <w:rsid w:val="00AA61E6"/>
    <w:rsid w:val="00AA72CE"/>
    <w:rsid w:val="00AE17DE"/>
    <w:rsid w:val="00AF49AA"/>
    <w:rsid w:val="00AF7ACA"/>
    <w:rsid w:val="00B0221D"/>
    <w:rsid w:val="00B05E1B"/>
    <w:rsid w:val="00B13254"/>
    <w:rsid w:val="00B15FEB"/>
    <w:rsid w:val="00B24AC6"/>
    <w:rsid w:val="00B31AE4"/>
    <w:rsid w:val="00B33812"/>
    <w:rsid w:val="00B44ED8"/>
    <w:rsid w:val="00B519D2"/>
    <w:rsid w:val="00B643A6"/>
    <w:rsid w:val="00B8597F"/>
    <w:rsid w:val="00B86961"/>
    <w:rsid w:val="00B86BC7"/>
    <w:rsid w:val="00BD310F"/>
    <w:rsid w:val="00BE2D1F"/>
    <w:rsid w:val="00C06454"/>
    <w:rsid w:val="00C104DB"/>
    <w:rsid w:val="00C1334A"/>
    <w:rsid w:val="00C162CD"/>
    <w:rsid w:val="00C347EA"/>
    <w:rsid w:val="00C350D2"/>
    <w:rsid w:val="00C37FCF"/>
    <w:rsid w:val="00C63700"/>
    <w:rsid w:val="00C67686"/>
    <w:rsid w:val="00C75855"/>
    <w:rsid w:val="00C76220"/>
    <w:rsid w:val="00C876B2"/>
    <w:rsid w:val="00C91E71"/>
    <w:rsid w:val="00CA063C"/>
    <w:rsid w:val="00CA63CF"/>
    <w:rsid w:val="00CC2B3E"/>
    <w:rsid w:val="00CD259A"/>
    <w:rsid w:val="00CD593E"/>
    <w:rsid w:val="00CE669C"/>
    <w:rsid w:val="00CE746C"/>
    <w:rsid w:val="00CF2FAA"/>
    <w:rsid w:val="00CF4528"/>
    <w:rsid w:val="00CF69CC"/>
    <w:rsid w:val="00D11884"/>
    <w:rsid w:val="00D15D8A"/>
    <w:rsid w:val="00D17420"/>
    <w:rsid w:val="00D60A74"/>
    <w:rsid w:val="00D8758E"/>
    <w:rsid w:val="00D94D08"/>
    <w:rsid w:val="00D9503B"/>
    <w:rsid w:val="00D96A32"/>
    <w:rsid w:val="00DA5E30"/>
    <w:rsid w:val="00DC417E"/>
    <w:rsid w:val="00DD0611"/>
    <w:rsid w:val="00DD3F77"/>
    <w:rsid w:val="00DE053E"/>
    <w:rsid w:val="00DE20D9"/>
    <w:rsid w:val="00DF7F05"/>
    <w:rsid w:val="00E11AC0"/>
    <w:rsid w:val="00E1781D"/>
    <w:rsid w:val="00E179D2"/>
    <w:rsid w:val="00E23121"/>
    <w:rsid w:val="00E3491A"/>
    <w:rsid w:val="00E46F84"/>
    <w:rsid w:val="00E47513"/>
    <w:rsid w:val="00E54876"/>
    <w:rsid w:val="00E600F1"/>
    <w:rsid w:val="00E70911"/>
    <w:rsid w:val="00E71077"/>
    <w:rsid w:val="00E735A8"/>
    <w:rsid w:val="00E73FFE"/>
    <w:rsid w:val="00E80CC6"/>
    <w:rsid w:val="00E91542"/>
    <w:rsid w:val="00EA3665"/>
    <w:rsid w:val="00EB0896"/>
    <w:rsid w:val="00EB5BA4"/>
    <w:rsid w:val="00ED3D38"/>
    <w:rsid w:val="00EE23AE"/>
    <w:rsid w:val="00EE45FB"/>
    <w:rsid w:val="00EF465B"/>
    <w:rsid w:val="00EF5680"/>
    <w:rsid w:val="00F01EE1"/>
    <w:rsid w:val="00F16A31"/>
    <w:rsid w:val="00F43358"/>
    <w:rsid w:val="00F50C93"/>
    <w:rsid w:val="00F5702F"/>
    <w:rsid w:val="00F612DB"/>
    <w:rsid w:val="00F6203C"/>
    <w:rsid w:val="00F647DA"/>
    <w:rsid w:val="00F712E5"/>
    <w:rsid w:val="00F71B55"/>
    <w:rsid w:val="00F7674C"/>
    <w:rsid w:val="00F851F1"/>
    <w:rsid w:val="00F95B0D"/>
    <w:rsid w:val="00FA0268"/>
    <w:rsid w:val="00FC03CD"/>
    <w:rsid w:val="00FD4AEB"/>
    <w:rsid w:val="00FD6ADE"/>
    <w:rsid w:val="00FD78F4"/>
    <w:rsid w:val="01F673F7"/>
    <w:rsid w:val="08A5737B"/>
    <w:rsid w:val="09106165"/>
    <w:rsid w:val="0B611AFC"/>
    <w:rsid w:val="0C9547CF"/>
    <w:rsid w:val="16866FC7"/>
    <w:rsid w:val="19462C90"/>
    <w:rsid w:val="1E422091"/>
    <w:rsid w:val="217D5DA6"/>
    <w:rsid w:val="24180082"/>
    <w:rsid w:val="24BF5225"/>
    <w:rsid w:val="265D2A40"/>
    <w:rsid w:val="27C335B1"/>
    <w:rsid w:val="2B9551A0"/>
    <w:rsid w:val="377B128D"/>
    <w:rsid w:val="38CA27D4"/>
    <w:rsid w:val="3A7B26C4"/>
    <w:rsid w:val="3EDD2294"/>
    <w:rsid w:val="40361758"/>
    <w:rsid w:val="43D03D54"/>
    <w:rsid w:val="46430EC0"/>
    <w:rsid w:val="46B91541"/>
    <w:rsid w:val="48901BE8"/>
    <w:rsid w:val="4A366E8C"/>
    <w:rsid w:val="4B0A3067"/>
    <w:rsid w:val="51A24F8D"/>
    <w:rsid w:val="544B14A1"/>
    <w:rsid w:val="587B4C38"/>
    <w:rsid w:val="598849F8"/>
    <w:rsid w:val="5A8416D8"/>
    <w:rsid w:val="5B863C9B"/>
    <w:rsid w:val="626B4CDF"/>
    <w:rsid w:val="67916476"/>
    <w:rsid w:val="68804C23"/>
    <w:rsid w:val="68C67827"/>
    <w:rsid w:val="68CF5AAB"/>
    <w:rsid w:val="6C1A66A6"/>
    <w:rsid w:val="6C1F3530"/>
    <w:rsid w:val="6D06349D"/>
    <w:rsid w:val="6DCA440F"/>
    <w:rsid w:val="70380B9E"/>
    <w:rsid w:val="72467106"/>
    <w:rsid w:val="734B34F3"/>
    <w:rsid w:val="73F35A07"/>
    <w:rsid w:val="786438A8"/>
    <w:rsid w:val="7C081C92"/>
    <w:rsid w:val="7C8F4BCC"/>
    <w:rsid w:val="7DB70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link w:val="16"/>
    <w:unhideWhenUsed/>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仿宋_GB2312"/>
      <w:color w:val="000000"/>
      <w:kern w:val="0"/>
      <w:sz w:val="24"/>
      <w:szCs w:val="21"/>
    </w:rPr>
  </w:style>
  <w:style w:type="paragraph" w:styleId="7">
    <w:name w:val="annotation subject"/>
    <w:basedOn w:val="2"/>
    <w:next w:val="2"/>
    <w:link w:val="17"/>
    <w:unhideWhenUsed/>
    <w:qFormat/>
    <w:uiPriority w:val="99"/>
    <w:rPr>
      <w:b/>
      <w:bCs/>
    </w:rPr>
  </w:style>
  <w:style w:type="character" w:styleId="10">
    <w:name w:val="Strong"/>
    <w:qFormat/>
    <w:uiPriority w:val="0"/>
    <w:rPr>
      <w:b/>
      <w:bCs/>
    </w:rPr>
  </w:style>
  <w:style w:type="character" w:styleId="11">
    <w:name w:val="Hyperlink"/>
    <w:qFormat/>
    <w:uiPriority w:val="0"/>
    <w:rPr>
      <w:color w:val="333333"/>
      <w:sz w:val="18"/>
      <w:szCs w:val="18"/>
      <w:u w:val="none"/>
    </w:rPr>
  </w:style>
  <w:style w:type="character" w:styleId="12">
    <w:name w:val="annotation reference"/>
    <w:unhideWhenUsed/>
    <w:qFormat/>
    <w:uiPriority w:val="99"/>
    <w:rPr>
      <w:sz w:val="21"/>
      <w:szCs w:val="21"/>
    </w:rPr>
  </w:style>
  <w:style w:type="character" w:customStyle="1" w:styleId="13">
    <w:name w:val="页脚 Char"/>
    <w:link w:val="4"/>
    <w:uiPriority w:val="99"/>
    <w:rPr>
      <w:rFonts w:ascii="Times New Roman" w:hAnsi="Times New Roman"/>
      <w:kern w:val="2"/>
      <w:sz w:val="18"/>
      <w:szCs w:val="18"/>
    </w:rPr>
  </w:style>
  <w:style w:type="character" w:customStyle="1" w:styleId="14">
    <w:name w:val="页眉 Char"/>
    <w:link w:val="5"/>
    <w:uiPriority w:val="99"/>
    <w:rPr>
      <w:rFonts w:ascii="Times New Roman" w:hAnsi="Times New Roman"/>
      <w:kern w:val="2"/>
      <w:sz w:val="18"/>
      <w:szCs w:val="18"/>
    </w:rPr>
  </w:style>
  <w:style w:type="character" w:customStyle="1" w:styleId="15">
    <w:name w:val="批注框文本 Char"/>
    <w:link w:val="3"/>
    <w:semiHidden/>
    <w:qFormat/>
    <w:uiPriority w:val="99"/>
    <w:rPr>
      <w:rFonts w:ascii="Times New Roman" w:hAnsi="Times New Roman"/>
      <w:kern w:val="2"/>
      <w:sz w:val="18"/>
      <w:szCs w:val="18"/>
    </w:rPr>
  </w:style>
  <w:style w:type="character" w:customStyle="1" w:styleId="16">
    <w:name w:val="批注文字 Char"/>
    <w:link w:val="2"/>
    <w:semiHidden/>
    <w:qFormat/>
    <w:uiPriority w:val="99"/>
    <w:rPr>
      <w:rFonts w:ascii="Times New Roman" w:hAnsi="Times New Roman"/>
      <w:kern w:val="2"/>
      <w:sz w:val="21"/>
      <w:szCs w:val="24"/>
    </w:rPr>
  </w:style>
  <w:style w:type="character" w:customStyle="1" w:styleId="17">
    <w:name w:val="批注主题 Char"/>
    <w:link w:val="7"/>
    <w:semiHidden/>
    <w:qFormat/>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1240</Words>
  <Characters>7073</Characters>
  <Lines>58</Lines>
  <Paragraphs>16</Paragraphs>
  <TotalTime>0</TotalTime>
  <ScaleCrop>false</ScaleCrop>
  <LinksUpToDate>false</LinksUpToDate>
  <CharactersWithSpaces>8297</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2019-06-28T00:47:00Z</dcterms:created>
  <dc:creator>1412-112</dc:creator>
  <cp:lastModifiedBy>Administrator</cp:lastModifiedBy>
  <cp:lastPrinted>2019-05-20T04:44:00Z</cp:lastPrinted>
  <dcterms:modified xsi:type="dcterms:W3CDTF">2019-07-23T06:05:20Z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