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中国法学会201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年度部级专项课题(董必武法学思想和中国特色社会主义法治理论研究)立项公示名单</w:t>
      </w:r>
    </w:p>
    <w:tbl>
      <w:tblPr>
        <w:tblStyle w:val="4"/>
        <w:tblpPr w:leftFromText="180" w:rightFromText="180" w:vertAnchor="text" w:horzAnchor="margin" w:tblpY="212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261"/>
        <w:gridCol w:w="1294"/>
        <w:gridCol w:w="3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896" w:type="dxa"/>
            <w:gridSpan w:val="4"/>
          </w:tcPr>
          <w:p>
            <w:pPr>
              <w:spacing w:before="240" w:after="2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30"/>
                <w:szCs w:val="30"/>
              </w:rPr>
              <w:t>专项课题（董必武法学思想和中国特色社会主义法治理论研究）（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/>
                <w:b/>
                <w:bCs/>
                <w:sz w:val="30"/>
                <w:szCs w:val="30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09" w:type="dxa"/>
          </w:tcPr>
          <w:p>
            <w:pPr>
              <w:spacing w:before="200"/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261" w:type="dxa"/>
          </w:tcPr>
          <w:p>
            <w:pPr>
              <w:spacing w:before="200"/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1294" w:type="dxa"/>
          </w:tcPr>
          <w:p>
            <w:pPr>
              <w:spacing w:before="200"/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申请人</w:t>
            </w:r>
          </w:p>
        </w:tc>
        <w:tc>
          <w:tcPr>
            <w:tcW w:w="3632" w:type="dxa"/>
          </w:tcPr>
          <w:p>
            <w:pPr>
              <w:spacing w:before="200"/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所在单位、职务/职称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09" w:type="dxa"/>
          </w:tcPr>
          <w:p>
            <w:pPr>
              <w:spacing w:before="200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jc w:val="both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领导干部法治思维研究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章志远</w:t>
            </w:r>
          </w:p>
        </w:tc>
        <w:tc>
          <w:tcPr>
            <w:tcW w:w="36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华东政法大学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9" w:type="dxa"/>
            <w:vMerge w:val="restart"/>
          </w:tcPr>
          <w:p>
            <w:pPr>
              <w:spacing w:before="200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社会主义核心价值观与法治建设研究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刘叶深</w:t>
            </w:r>
          </w:p>
        </w:tc>
        <w:tc>
          <w:tcPr>
            <w:tcW w:w="36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北方工业大学文法学院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709" w:type="dxa"/>
            <w:vMerge w:val="continue"/>
          </w:tcPr>
          <w:p>
            <w:pPr>
              <w:spacing w:before="200"/>
              <w:rPr>
                <w:rFonts w:hint="eastAsia" w:ascii="楷体" w:hAnsi="楷体" w:eastAsia="楷体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王怀勇</w:t>
            </w:r>
          </w:p>
        </w:tc>
        <w:tc>
          <w:tcPr>
            <w:tcW w:w="36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西南政法大学研究生院副院长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09" w:type="dxa"/>
          </w:tcPr>
          <w:p>
            <w:pPr>
              <w:spacing w:before="200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中国依法治网的理论与实践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辉</w:t>
            </w:r>
          </w:p>
        </w:tc>
        <w:tc>
          <w:tcPr>
            <w:tcW w:w="36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上海社会科学院法学研究所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09" w:type="dxa"/>
          </w:tcPr>
          <w:p>
            <w:pPr>
              <w:spacing w:before="200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习近平依法治疆思想及实践研究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哲</w:t>
            </w:r>
          </w:p>
        </w:tc>
        <w:tc>
          <w:tcPr>
            <w:tcW w:w="36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新疆大学法学院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副院长、副教授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09" w:type="dxa"/>
          </w:tcPr>
          <w:p>
            <w:pPr>
              <w:spacing w:before="200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jc w:val="both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董必武人民监察思想与国家监察委员会理论基础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浔</w:t>
            </w:r>
          </w:p>
        </w:tc>
        <w:tc>
          <w:tcPr>
            <w:tcW w:w="36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华东政法大学刑事司法学院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副教授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FZBSK--GBK1-0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wçXˇøŒ‚≈'1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_4eff_5b8b_GB2312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FB3"/>
    <w:rsid w:val="001A7FB3"/>
    <w:rsid w:val="003A6BEB"/>
    <w:rsid w:val="00485E77"/>
    <w:rsid w:val="4DF66378"/>
    <w:rsid w:val="5810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47</Words>
  <Characters>273</Characters>
  <Lines>2</Lines>
  <Paragraphs>1</Paragraphs>
  <TotalTime>0</TotalTime>
  <ScaleCrop>false</ScaleCrop>
  <LinksUpToDate>false</LinksUpToDate>
  <CharactersWithSpaces>319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2016-11-25T10:18:00Z</dcterms:created>
  <dc:creator>2217-32</dc:creator>
  <cp:lastModifiedBy>2217-32</cp:lastModifiedBy>
  <dcterms:modified xsi:type="dcterms:W3CDTF">2017-09-14T10:46:26Z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