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黑体"/>
          <w:sz w:val="44"/>
          <w:szCs w:val="44"/>
        </w:rPr>
      </w:pPr>
    </w:p>
    <w:p>
      <w:pPr>
        <w:widowControl w:val="0"/>
        <w:wordWrap/>
        <w:adjustRightInd/>
        <w:snapToGrid/>
        <w:spacing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黑体"/>
          <w:sz w:val="44"/>
          <w:szCs w:val="44"/>
        </w:rPr>
      </w:pPr>
    </w:p>
    <w:p>
      <w:pPr>
        <w:widowControl w:val="0"/>
        <w:wordWrap/>
        <w:adjustRightInd/>
        <w:snapToGrid/>
        <w:spacing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黑体"/>
          <w:sz w:val="44"/>
          <w:szCs w:val="44"/>
          <w:lang w:eastAsia="zh-CN"/>
        </w:rPr>
      </w:pPr>
      <w:r>
        <w:rPr>
          <w:rFonts w:hint="eastAsia" w:ascii="华文中宋" w:hAnsi="华文中宋" w:eastAsia="华文中宋" w:cs="黑体"/>
          <w:sz w:val="44"/>
          <w:szCs w:val="44"/>
        </w:rPr>
        <w:t>关于</w:t>
      </w:r>
      <w:r>
        <w:rPr>
          <w:rFonts w:hint="eastAsia" w:ascii="华文中宋" w:hAnsi="华文中宋" w:eastAsia="华文中宋" w:cs="黑体"/>
          <w:sz w:val="44"/>
          <w:szCs w:val="44"/>
          <w:lang w:eastAsia="zh-CN"/>
        </w:rPr>
        <w:t>印发《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2015年度</w:t>
      </w:r>
      <w:r>
        <w:rPr>
          <w:rFonts w:hint="eastAsia" w:ascii="华文中宋" w:hAnsi="华文中宋" w:eastAsia="华文中宋" w:cs="黑体"/>
          <w:sz w:val="44"/>
          <w:szCs w:val="44"/>
          <w:lang w:eastAsia="zh-CN"/>
        </w:rPr>
        <w:t>地州市法学会工作量化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>考核细则》</w:t>
      </w:r>
      <w:r>
        <w:rPr>
          <w:rFonts w:hint="eastAsia" w:ascii="华文中宋" w:hAnsi="华文中宋" w:eastAsia="华文中宋" w:cs="黑体"/>
          <w:sz w:val="44"/>
          <w:szCs w:val="44"/>
          <w:lang w:eastAsia="zh-CN"/>
        </w:rPr>
        <w:t>的通知</w:t>
      </w:r>
    </w:p>
    <w:p>
      <w:pPr>
        <w:widowControl w:val="0"/>
        <w:wordWrap/>
        <w:snapToGrid/>
        <w:spacing w:before="0" w:after="0" w:line="600" w:lineRule="atLeast"/>
        <w:ind w:left="0" w:leftChars="0" w:right="0"/>
        <w:outlineLvl w:val="9"/>
        <w:rPr>
          <w:rFonts w:ascii="仿宋_GB2312" w:eastAsia="仿宋_GB2312"/>
          <w:sz w:val="34"/>
          <w:szCs w:val="34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伊犁哈萨克自治州法学会，各地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szCs w:val="32"/>
        </w:rPr>
        <w:t>州、市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  <w:szCs w:val="32"/>
        </w:rPr>
        <w:t>法学会：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按照年初新疆法学会常务理事扩大会议的安排部署和2015年工作要点，年终新疆法学会组织对各地（州、市）法学会进行业务考核。考核指标继续列入到自治区社会治安综合治理考核体系中。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增强对地州市法学会考核的针对性，体现法学会业务工作的重点，我会在2013年、2014年考核细则的基础上，按照中国法学会的新要求并结合工作实际对2015年考核细则进行了修订，现予以印发，望各地认真抓好工作落实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为保障考核工作的顺利进行，新疆</w:t>
      </w:r>
      <w:r>
        <w:rPr>
          <w:rFonts w:hint="eastAsia" w:ascii="仿宋_GB2312" w:eastAsia="仿宋_GB2312"/>
          <w:sz w:val="32"/>
          <w:szCs w:val="32"/>
        </w:rPr>
        <w:t>法学会成立</w:t>
      </w:r>
      <w:r>
        <w:rPr>
          <w:rFonts w:hint="eastAsia" w:ascii="仿宋_GB2312" w:eastAsia="仿宋_GB2312"/>
          <w:sz w:val="32"/>
          <w:szCs w:val="32"/>
          <w:lang w:eastAsia="zh-CN"/>
        </w:rPr>
        <w:t>地州市</w:t>
      </w:r>
      <w:r>
        <w:rPr>
          <w:rFonts w:hint="eastAsia" w:ascii="仿宋_GB2312" w:eastAsia="仿宋_GB2312"/>
          <w:sz w:val="32"/>
          <w:szCs w:val="32"/>
        </w:rPr>
        <w:t>法学会年度考核领导小组，组织领导考核工作，审核考核内容的设置以及确定考核结果。考核领导小组组长由</w:t>
      </w:r>
      <w:r>
        <w:rPr>
          <w:rFonts w:hint="eastAsia" w:ascii="仿宋_GB2312" w:eastAsia="仿宋_GB2312"/>
          <w:sz w:val="32"/>
          <w:szCs w:val="32"/>
          <w:lang w:eastAsia="zh-CN"/>
        </w:rPr>
        <w:t>新疆</w:t>
      </w:r>
      <w:r>
        <w:rPr>
          <w:rFonts w:hint="eastAsia" w:ascii="仿宋_GB2312" w:eastAsia="仿宋_GB2312"/>
          <w:sz w:val="32"/>
          <w:szCs w:val="32"/>
        </w:rPr>
        <w:t>法学会领导担任，成员由</w:t>
      </w:r>
      <w:r>
        <w:rPr>
          <w:rFonts w:hint="eastAsia" w:ascii="仿宋_GB2312" w:eastAsia="仿宋_GB2312"/>
          <w:sz w:val="32"/>
          <w:szCs w:val="32"/>
          <w:lang w:eastAsia="zh-CN"/>
        </w:rPr>
        <w:t>新疆</w:t>
      </w:r>
      <w:r>
        <w:rPr>
          <w:rFonts w:hint="eastAsia" w:ascii="仿宋_GB2312" w:eastAsia="仿宋_GB2312"/>
          <w:sz w:val="32"/>
          <w:szCs w:val="32"/>
        </w:rPr>
        <w:t>法学会机关各</w:t>
      </w:r>
      <w:r>
        <w:rPr>
          <w:rFonts w:hint="eastAsia" w:ascii="仿宋_GB2312" w:eastAsia="仿宋_GB2312"/>
          <w:sz w:val="32"/>
          <w:szCs w:val="32"/>
          <w:lang w:eastAsia="zh-CN"/>
        </w:rPr>
        <w:t>处负责人员</w:t>
      </w:r>
      <w:r>
        <w:rPr>
          <w:rFonts w:hint="eastAsia" w:ascii="仿宋_GB2312" w:eastAsia="仿宋_GB2312"/>
          <w:sz w:val="32"/>
          <w:szCs w:val="32"/>
        </w:rPr>
        <w:t>组成。领导小组下设考核工作办公室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设在</w:t>
      </w:r>
      <w:r>
        <w:rPr>
          <w:rFonts w:hint="eastAsia" w:ascii="仿宋_GB2312" w:eastAsia="仿宋_GB2312"/>
          <w:sz w:val="32"/>
          <w:szCs w:val="32"/>
          <w:lang w:eastAsia="zh-CN"/>
        </w:rPr>
        <w:t>综合处）</w:t>
      </w:r>
      <w:r>
        <w:rPr>
          <w:rFonts w:hint="eastAsia" w:ascii="仿宋_GB2312" w:eastAsia="仿宋_GB2312"/>
          <w:sz w:val="32"/>
          <w:szCs w:val="32"/>
        </w:rPr>
        <w:t>，具体负责考核的日常事务工作。</w:t>
      </w:r>
    </w:p>
    <w:p>
      <w:pPr>
        <w:widowControl w:val="0"/>
        <w:spacing w:after="0" w:line="520" w:lineRule="atLeas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领导小组组长：</w:t>
      </w:r>
      <w:r>
        <w:rPr>
          <w:rFonts w:hint="eastAsia" w:ascii="仿宋_GB2312" w:eastAsia="仿宋_GB2312"/>
          <w:sz w:val="32"/>
          <w:szCs w:val="32"/>
          <w:lang w:eastAsia="zh-CN"/>
        </w:rPr>
        <w:t>袁争鸣</w:t>
      </w:r>
    </w:p>
    <w:p>
      <w:pPr>
        <w:widowControl w:val="0"/>
        <w:spacing w:after="0" w:line="520" w:lineRule="atLeas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成员：</w:t>
      </w:r>
      <w:r>
        <w:rPr>
          <w:rFonts w:hint="eastAsia" w:ascii="仿宋_GB2312" w:eastAsia="仿宋_GB2312"/>
          <w:sz w:val="32"/>
          <w:szCs w:val="32"/>
          <w:lang w:eastAsia="zh-CN"/>
        </w:rPr>
        <w:t>娜迪热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·吐尔逊买买提、蒋亚婷、卫俊刚 </w:t>
      </w:r>
    </w:p>
    <w:p>
      <w:pPr>
        <w:widowControl w:val="0"/>
        <w:spacing w:after="0" w:line="520" w:lineRule="atLeas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考核工作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卫俊刚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widowControl w:val="0"/>
        <w:spacing w:after="0" w:line="520" w:lineRule="atLeas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0991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2382272、18209910305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widowControl w:val="0"/>
        <w:spacing w:after="0" w:line="520" w:lineRule="atLeas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地州市</w:t>
      </w:r>
      <w:r>
        <w:rPr>
          <w:rFonts w:hint="eastAsia" w:ascii="仿宋_GB2312" w:eastAsia="仿宋_GB2312"/>
          <w:sz w:val="32"/>
          <w:szCs w:val="32"/>
        </w:rPr>
        <w:t>法学会工作</w:t>
      </w:r>
      <w:r>
        <w:rPr>
          <w:rFonts w:hint="eastAsia" w:ascii="仿宋_GB2312" w:eastAsia="仿宋_GB2312"/>
          <w:sz w:val="32"/>
          <w:szCs w:val="32"/>
          <w:lang w:eastAsia="zh-CN"/>
        </w:rPr>
        <w:t>量化</w:t>
      </w:r>
      <w:r>
        <w:rPr>
          <w:rFonts w:hint="eastAsia" w:ascii="仿宋_GB2312" w:eastAsia="仿宋_GB2312"/>
          <w:sz w:val="32"/>
          <w:szCs w:val="32"/>
        </w:rPr>
        <w:t>考核</w:t>
      </w:r>
      <w:r>
        <w:rPr>
          <w:rFonts w:hint="eastAsia" w:ascii="仿宋_GB2312" w:eastAsia="仿宋_GB2312"/>
          <w:sz w:val="32"/>
          <w:szCs w:val="32"/>
          <w:lang w:eastAsia="zh-CN"/>
        </w:rPr>
        <w:t>细则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           新疆维吾尔自治区法学会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                2015年6月29日</w:t>
      </w:r>
    </w:p>
    <w:p>
      <w:pPr>
        <w:spacing w:line="420" w:lineRule="exact"/>
        <w:jc w:val="center"/>
        <w:rPr>
          <w:rFonts w:hint="eastAsia" w:ascii="新宋体" w:hAnsi="新宋体" w:eastAsia="新宋体" w:cs="新宋体"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sz w:val="36"/>
          <w:szCs w:val="36"/>
        </w:rPr>
        <w:t>201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 w:cs="新宋体"/>
          <w:sz w:val="36"/>
          <w:szCs w:val="36"/>
        </w:rPr>
        <w:t>年度</w:t>
      </w:r>
      <w:r>
        <w:rPr>
          <w:rFonts w:hint="eastAsia" w:ascii="新宋体" w:hAnsi="新宋体" w:eastAsia="新宋体" w:cs="新宋体"/>
          <w:sz w:val="36"/>
          <w:szCs w:val="36"/>
          <w:lang w:eastAsia="zh-CN"/>
        </w:rPr>
        <w:t>地州市</w:t>
      </w:r>
      <w:r>
        <w:rPr>
          <w:rFonts w:hint="eastAsia" w:ascii="新宋体" w:hAnsi="新宋体" w:eastAsia="新宋体" w:cs="新宋体"/>
          <w:sz w:val="36"/>
          <w:szCs w:val="36"/>
        </w:rPr>
        <w:t>法学会工作</w:t>
      </w:r>
      <w:r>
        <w:rPr>
          <w:rFonts w:hint="eastAsia" w:ascii="新宋体" w:hAnsi="新宋体" w:eastAsia="新宋体" w:cs="新宋体"/>
          <w:sz w:val="36"/>
          <w:szCs w:val="36"/>
          <w:lang w:eastAsia="zh-CN"/>
        </w:rPr>
        <w:t>量化</w:t>
      </w:r>
      <w:r>
        <w:rPr>
          <w:rFonts w:hint="eastAsia" w:ascii="新宋体" w:hAnsi="新宋体" w:eastAsia="新宋体" w:cs="新宋体"/>
          <w:sz w:val="36"/>
          <w:szCs w:val="36"/>
        </w:rPr>
        <w:t>考核</w:t>
      </w:r>
      <w:r>
        <w:rPr>
          <w:rFonts w:hint="eastAsia" w:ascii="新宋体" w:hAnsi="新宋体" w:eastAsia="新宋体" w:cs="新宋体"/>
          <w:sz w:val="36"/>
          <w:szCs w:val="36"/>
          <w:lang w:eastAsia="zh-CN"/>
        </w:rPr>
        <w:t>细则</w:t>
      </w:r>
    </w:p>
    <w:p>
      <w:pPr>
        <w:spacing w:line="42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                           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分：100分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（鼓励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加分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20分）</w:t>
      </w:r>
    </w:p>
    <w:tbl>
      <w:tblPr>
        <w:tblStyle w:val="9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095"/>
        <w:gridCol w:w="3768"/>
        <w:gridCol w:w="808"/>
        <w:gridCol w:w="672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考核项目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考核内容</w:t>
            </w:r>
          </w:p>
        </w:tc>
        <w:tc>
          <w:tcPr>
            <w:tcW w:w="3768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考评标准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 xml:space="preserve">实际  </w:t>
            </w:r>
          </w:p>
          <w:p>
            <w:pPr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情况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  <w:lang w:eastAsia="zh-CN"/>
              </w:rPr>
              <w:t>自查</w:t>
            </w:r>
            <w:r>
              <w:rPr>
                <w:rFonts w:hint="eastAsia" w:ascii="黑体" w:hAnsi="仿宋" w:eastAsia="黑体"/>
                <w:sz w:val="28"/>
                <w:szCs w:val="28"/>
              </w:rPr>
              <w:t>得分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组织</w:t>
            </w: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建设</w:t>
            </w:r>
          </w:p>
          <w:p>
            <w:pPr>
              <w:jc w:val="both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分</w:t>
            </w:r>
          </w:p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是否下拨编制，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编制、人员是否存在挪用情况（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有专编专人得分；无编制和专职干部不得分。（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以编制部门文件为依据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配备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县（处）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级专职副会长或秘书长（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以编制部门文件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及任命文件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为依据。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按期召开理事会或常务理事会议（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不召开不得分。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(以会议纪要、简报、通知为依据)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积极推动县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（市、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区）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成立法学会（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全部成立计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分。没有全部成立的，按照成立法学会的县与所辖县的百分比乘以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分计算得分。（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以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召开成立大会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为依据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有经费保障开展工作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（2分）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工作经费列入财政预算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，有保证工作正常开展的专项经费得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财政部门划拨经费文件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或证明为依据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法学会专职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干部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、法学会工作获得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级（含）以上表彰（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以文件、证书为依据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法学会工作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（包括单项工作）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列入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级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综治考核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以有关文件为依据。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法学</w:t>
            </w: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研究</w:t>
            </w: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分</w:t>
            </w: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成立学术委员会并制定工作规则和议事规则（1分），组织学术委员开展活动（1分）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没有成立的不得分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成立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后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没有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工作规则和开展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活动的得1分。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（以成立文件和工作记录、简报为依据）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备注：新疆法学会将对在组织学术征文活动中表现优秀的予以通报表彰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成立学科（专业、专门）研究会（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研究会每年至少组织1次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学术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活动（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建立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个及以上得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分，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（以审批文件为依据），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组织1次及以上活动得1分。（以相关文件资料为依据）</w:t>
            </w:r>
          </w:p>
        </w:tc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围绕中心、服务当地工作大局，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组织开展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学术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活动（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组织一次得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含专题研讨、论坛、沙龙等，承办区域法治论坛另计分）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编论文集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2分，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累计不超过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（以会议通知、简报、论文集等为依据）</w:t>
            </w:r>
          </w:p>
        </w:tc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参与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政府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重大决策及规范性文件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的制定或调研咨询（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与当地人大、政府法制部门建立固定的联系制度，有报送相关建议的载体，得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分；参与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党委政府重大决策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规范性文件起草、咨询的得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</w:p>
        </w:tc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积极参加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法学会系统组织的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学术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及征文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活动（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参加1次计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（每次所推荐的论文符合征文参评要求篇数达到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5篇以上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，累计不超过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（以新疆法学会业务处记载为依据）</w:t>
            </w:r>
          </w:p>
        </w:tc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eastAsia="zh-CN"/>
              </w:rPr>
              <w:t>自行组织开展有经费保障的课题研究（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eastAsia="zh-CN"/>
              </w:rPr>
              <w:t>），积极争取中国法学会、新疆法学会组织的的课题研究任务（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eastAsia="zh-CN"/>
              </w:rPr>
              <w:t>建立本地的法律人才库（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eastAsia="zh-CN"/>
              </w:rPr>
              <w:t>），积极发挥本地法律人才在法治宣讲、法律服务、课题研究等方面的作用（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,对法学会工作有贡献的优秀法律人才进行表彰（1分）。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以人才库数据材料、活动简报、表彰文件为依据。</w:t>
            </w:r>
          </w:p>
        </w:tc>
        <w:tc>
          <w:tcPr>
            <w:tcW w:w="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0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法律</w:t>
            </w:r>
          </w:p>
          <w:p>
            <w:pPr>
              <w:jc w:val="both"/>
              <w:rPr>
                <w:rFonts w:ascii="宋体" w:hAnsi="宋体" w:eastAsia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服务</w:t>
            </w:r>
          </w:p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分</w:t>
            </w: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法律服务体系完备（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有提供法律服务的机构载体或者固定模式计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分，配合其他部门开展法律服务计1分，有稳定的法律服务队伍计1分。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备注：法律服务活动必须由法学会牵头组织并及时上报活动简报</w:t>
            </w: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法律服务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多层次、多类型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为政府决策等提供法律服务（1分），为企事业单位提供法律服务（1分），为基层群众提供法律服务（1分）。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法律服务效果良好（3分）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级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、地（州、市）级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媒体报道计1分，得到当地党委政府文件肯定计1分，化解矛盾纠纷（有具体事例）计1分。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91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  <w:lang w:eastAsia="zh-CN"/>
              </w:rPr>
              <w:t>法治</w:t>
            </w:r>
          </w:p>
          <w:p>
            <w:pPr>
              <w:jc w:val="both"/>
              <w:rPr>
                <w:rFonts w:hint="eastAsia" w:ascii="宋体" w:hAnsi="宋体" w:eastAsia="宋体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  <w:lang w:eastAsia="zh-CN"/>
              </w:rPr>
              <w:t>宣传</w:t>
            </w:r>
          </w:p>
          <w:p>
            <w:pPr>
              <w:jc w:val="both"/>
              <w:rPr>
                <w:rFonts w:hint="eastAsia" w:ascii="宋体" w:hAnsi="宋体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  <w:lang w:val="en-US" w:eastAsia="zh-CN"/>
              </w:rPr>
              <w:t>15分</w:t>
            </w: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制定《青少年普法志愿者法治文化基层行活动实施方案》，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直接组织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专家面向基层、校园开展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法治宣讲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或文艺演出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活动（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制定《实施方案》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；地（州、市）本级法学会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组织一次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活动计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，累计不超过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建立网站并经常更新内容（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每月更新内容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条以上得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定期向新疆法学会网站投稿（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在新疆法学会网站全年刊登信息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10篇—15篇得1分，16篇以上得2分，被中国法学会网站采用5篇以上得2分。（以各地上报的信息采用登记台账及新疆法学会的统计为依据。）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910" w:type="dxa"/>
            <w:vMerge w:val="continue"/>
            <w:vAlign w:val="center"/>
          </w:tcPr>
          <w:p>
            <w:pPr>
              <w:ind w:firstLine="560" w:firstLineChars="2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有定期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编发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的内部刊物（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没有不得分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，少于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期（含）得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0" w:type="dxa"/>
            <w:vMerge w:val="continue"/>
            <w:vAlign w:val="center"/>
          </w:tcPr>
          <w:p>
            <w:pPr>
              <w:ind w:firstLine="560" w:firstLineChars="2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建立《简报》等信息报送渠道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（2分）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上报工作纸质信息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6期（含）以上得2分（以上报材料为依据）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1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  <w:lang w:eastAsia="zh-CN"/>
              </w:rPr>
              <w:t>双百</w:t>
            </w:r>
          </w:p>
          <w:p>
            <w:pPr>
              <w:jc w:val="both"/>
              <w:rPr>
                <w:rFonts w:hint="eastAsia" w:ascii="宋体" w:hAnsi="宋体" w:eastAsia="宋体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  <w:lang w:eastAsia="zh-CN"/>
              </w:rPr>
              <w:t>活动</w:t>
            </w:r>
          </w:p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10分</w:t>
            </w: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成立地（州、市）“双百”活动组委会（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1分）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制定“双百”活动实施方案(2分)，没有制定的不得分。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以正式文件为依据。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积极配合完成自治区“双百”活动组委会在地（州、市）及县（市、区）组织的报告会活动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分)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配合不力的酌情扣分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（以通知文件及征求自治区组委会办公室意见为依据）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完成本地区党政机关“双百”法治专场报告会（1分），县（市、区）“双百”法治宣讲全覆盖（3分）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在本地区组织1场党政机关“双百”法治专场报告会得1分，未组织不得分；县市区覆盖面达到50%得2分，100%得3分，没达到或没有开展宣讲活动不得分。（以安排的文件，工作总结，每个宣讲人讲课提纲为依据，将所宣讲到的县市区名称、宣讲人姓名、宣讲日期、参加人数、覆盖比例等项目列表后加盖公章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当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地新闻媒体安排时段、版面和栏目，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以多种形式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宣传“双百”活动开展情况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1分）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未在当地主要媒体进行宣传报道的不得分。（以相关媒体刊播记录或提供当地媒体加盖公章的刊播证明为依据）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0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 w:cs="仿宋_GB2312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_GB2312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_GB2312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会员</w:t>
            </w:r>
          </w:p>
          <w:p>
            <w:pPr>
              <w:jc w:val="both"/>
              <w:rPr>
                <w:rFonts w:ascii="宋体" w:hAnsi="宋体" w:eastAsia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工作</w:t>
            </w:r>
          </w:p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分</w:t>
            </w: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会员工作年度有计划、年终有总结（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做到年初有计划，年终有总结得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分，能够按照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新疆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法学会工作要求，按时上报年度计划、总结得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年度会员有发展（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本年度个人会员比上年度有增长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%得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分。团体会员有增长得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理事会成员、所属研究会成员全部办理入会手续（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建立健全会员信息档案（3分）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正确使用中国法学会官方会员信息管理系统（1分），及时为所属会员建立和完善信息电子档案（1分），及时审核入会申请并反馈申请人（1分）。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建立会员联络员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机制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年度召开联络员会议（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分），通过联络员定期收集会员意见建议，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及时上报会员工作分析报告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建立“会员信息群发平台”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服务专线（1分）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举办“会员沙龙”或组织会员参加研讨会、专题调研、法律咨询、法律服务等会员活动（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组织一次计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分，累计不超过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成果转化</w:t>
            </w:r>
          </w:p>
          <w:p>
            <w:pPr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分</w:t>
            </w: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法学研究成果得到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地（州、市）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级（含）以上领导批示或有关部门采纳（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一次计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分，累计不超过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法学研究成果形成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地（州、市）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级（含）以上人大代表提案或政协委员议案（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法学研究成果被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地（州、市）级以上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要报、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报刊、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专报刊发（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一次计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分，累计不超过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法学会会员的研究成果或文章被地州市级以上媒体报道或刊登（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报道或刊登一次计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1分，累计不产过2分。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鼓励加分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黑体" w:hAnsi="黑体" w:eastAsia="黑体" w:cs="宋体"/>
                <w:b/>
                <w:color w:val="000000"/>
                <w:sz w:val="28"/>
                <w:szCs w:val="28"/>
              </w:rPr>
              <w:t>分</w:t>
            </w: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成立的县（市、区）法学会能正常开展工作（3分）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有固定专（兼）职人员、有办公地点、有经费保障。能开展调查研究、法治宣传、法律服务等符合本地实际的各项活动。（1个县市区法学会能正常开展工作得1分，以3分为满分）。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vAlign w:val="center"/>
          </w:tcPr>
          <w:p>
            <w:pPr>
              <w:rPr>
                <w:rFonts w:hint="eastAsia" w:ascii="黑体" w:hAnsi="黑体" w:eastAsia="黑体" w:cs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承办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新疆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法学会主办的论坛、座谈会、研讨会、交流会（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承办1次即得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承办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大区域论坛</w:t>
            </w:r>
            <w:r>
              <w:rPr>
                <w:rFonts w:hint="eastAsia" w:ascii="仿宋_GB2312" w:hAnsi="仿宋" w:eastAsia="仿宋_GB2312"/>
                <w:spacing w:val="-20"/>
                <w:w w:val="8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pacing w:val="-20"/>
                <w:w w:val="8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pacing w:val="-20"/>
                <w:w w:val="80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征集论文及初评工作及时、井然有序（0.5 分），论坛报道及时（0.5 ），形成论坛综述，并及时报相关部门（0.5 分）,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编印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论文集（0.5分）。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组织本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地法学法律工作者开展对外交流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以文件为准。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参与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当地党委、政府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落实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自治区党委八届八次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全会实施任务分工（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1、参与法治专门队伍建设2、参与法律服务队伍建设3、参与立法论证、决策咨询、风险评估4、开展法律培训、纠纷化解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.（有一项即可得分，以正式文件为依据）</w:t>
            </w:r>
          </w:p>
        </w:tc>
        <w:tc>
          <w:tcPr>
            <w:tcW w:w="808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参加全国、自治区级法学学术活动，推荐论文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作者获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一等奖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、二等奖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、三等奖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累计不超过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。（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获奖证书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或新疆法学会记载为依据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</w:trPr>
        <w:tc>
          <w:tcPr>
            <w:tcW w:w="910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参与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三大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区域法治论坛，推荐论文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获一等奖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、二等奖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、三等奖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0.2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累计不超过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。（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获奖证书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或新疆法学会记载为依据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承担中国法学会、新疆法学会组织的课题研究任务（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由业务处赋分。（不超过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10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建立与团体会员单位的联系协调机制，并能联合开展相关活动（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2分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）。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 w:val="0"/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1077" w:right="1077" w:bottom="283" w:left="1077" w:header="709" w:footer="283" w:gutter="0"/>
      <w:paperSrc w:first="0" w:other="0"/>
      <w:cols w:space="720" w:num="1"/>
      <w:rtlGutter w:val="0"/>
      <w:docGrid w:type="lines" w:linePitch="36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2"/>
  <w:characterSpacingControl w:val="doNotCompress"/>
  <w:compat>
    <w:spaceForUL/>
    <w:doNotLeaveBackslashAlone/>
    <w:ulTrailSpace/>
    <w:splitPgBreakAndParaMark/>
    <w:doNotExpandShiftReturn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5F332D1"/>
    <w:rsid w:val="092D1499"/>
    <w:rsid w:val="09697100"/>
    <w:rsid w:val="11F55185"/>
    <w:rsid w:val="1532440B"/>
    <w:rsid w:val="1A5F77D3"/>
    <w:rsid w:val="1B0921EA"/>
    <w:rsid w:val="1DA608B4"/>
    <w:rsid w:val="219C4C32"/>
    <w:rsid w:val="2DB77A10"/>
    <w:rsid w:val="2E332289"/>
    <w:rsid w:val="2FD86C16"/>
    <w:rsid w:val="304F63CF"/>
    <w:rsid w:val="3B2F7AB8"/>
    <w:rsid w:val="3BA21765"/>
    <w:rsid w:val="3D68584E"/>
    <w:rsid w:val="3FBF59A2"/>
    <w:rsid w:val="4199652C"/>
    <w:rsid w:val="42A9416B"/>
    <w:rsid w:val="46D92C4C"/>
    <w:rsid w:val="48D12D87"/>
    <w:rsid w:val="4AF95C0F"/>
    <w:rsid w:val="52784DDC"/>
    <w:rsid w:val="536227DB"/>
    <w:rsid w:val="5F802CBB"/>
    <w:rsid w:val="5FC051C9"/>
    <w:rsid w:val="5FD849CF"/>
    <w:rsid w:val="61302A02"/>
    <w:rsid w:val="64337102"/>
    <w:rsid w:val="68B07650"/>
    <w:rsid w:val="6BE4390F"/>
    <w:rsid w:val="6FFA3DC5"/>
    <w:rsid w:val="70B8767B"/>
    <w:rsid w:val="759D1102"/>
    <w:rsid w:val="7F2D6DB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uiPriority w:val="0"/>
    <w:rPr/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5"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13">
    <w:name w:val="日期 Char"/>
    <w:basedOn w:val="6"/>
    <w:link w:val="2"/>
    <w:semiHidden/>
    <w:uiPriority w:val="99"/>
    <w:rPr>
      <w:rFonts w:ascii="Tahoma" w:hAnsi="Tahoma"/>
    </w:rPr>
  </w:style>
  <w:style w:type="character" w:customStyle="1" w:styleId="14">
    <w:name w:val="批注框文本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3060</Characters>
  <Lines>25</Lines>
  <Paragraphs>7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2014-01-17T06:23:00Z</dcterms:created>
  <dc:creator>张润华</dc:creator>
  <cp:lastModifiedBy>weijungang</cp:lastModifiedBy>
  <cp:lastPrinted>2015-06-25T08:15:00Z</cp:lastPrinted>
  <dcterms:modified xsi:type="dcterms:W3CDTF">2015-06-26T05:45:14Z</dcterms:modified>
  <dc:title>会字[2014]4号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