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1AF1" w:rsidRPr="00073434" w:rsidRDefault="00341AF1">
      <w:pPr>
        <w:jc w:val="center"/>
        <w:outlineLvl w:val="0"/>
        <w:rPr>
          <w:rFonts w:ascii="华文中宋" w:eastAsia="华文中宋" w:hAnsi="华文中宋"/>
          <w:b/>
          <w:color w:val="FF0000"/>
          <w:sz w:val="28"/>
          <w:szCs w:val="28"/>
        </w:rPr>
      </w:pPr>
    </w:p>
    <w:p w:rsidR="00341AF1" w:rsidRPr="00073434" w:rsidRDefault="00341AF1">
      <w:pPr>
        <w:jc w:val="center"/>
        <w:outlineLvl w:val="0"/>
        <w:rPr>
          <w:rFonts w:ascii="华文中宋" w:eastAsia="华文中宋" w:hAnsi="华文中宋"/>
          <w:b/>
          <w:color w:val="FF0000"/>
          <w:sz w:val="28"/>
          <w:szCs w:val="28"/>
        </w:rPr>
      </w:pPr>
    </w:p>
    <w:p w:rsidR="00341AF1" w:rsidRPr="00073434" w:rsidRDefault="00341AF1">
      <w:pPr>
        <w:jc w:val="center"/>
        <w:outlineLvl w:val="0"/>
        <w:rPr>
          <w:rFonts w:ascii="华文中宋" w:eastAsia="华文中宋" w:hAnsi="华文中宋"/>
          <w:b/>
          <w:color w:val="FF0000"/>
          <w:sz w:val="28"/>
          <w:szCs w:val="28"/>
        </w:rPr>
      </w:pPr>
    </w:p>
    <w:p w:rsidR="00707AE5" w:rsidRDefault="00707AE5">
      <w:pPr>
        <w:jc w:val="center"/>
        <w:outlineLvl w:val="0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07AE5" w:rsidRDefault="00707AE5">
      <w:pPr>
        <w:jc w:val="center"/>
        <w:outlineLvl w:val="0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707AE5" w:rsidRDefault="00707AE5">
      <w:pPr>
        <w:jc w:val="center"/>
        <w:outlineLvl w:val="0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073434" w:rsidRPr="00707AE5" w:rsidRDefault="00073434">
      <w:pPr>
        <w:jc w:val="center"/>
        <w:outlineLvl w:val="0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707AE5" w:rsidRDefault="00A0490E" w:rsidP="00A0490E">
      <w:pPr>
        <w:spacing w:afterLines="50" w:after="156"/>
        <w:jc w:val="center"/>
        <w:outlineLvl w:val="0"/>
        <w:rPr>
          <w:rFonts w:ascii="华文中宋" w:eastAsia="华文中宋" w:hAnsi="华文中宋"/>
          <w:b/>
          <w:color w:val="FF0000"/>
          <w:sz w:val="28"/>
          <w:szCs w:val="28"/>
        </w:rPr>
      </w:pPr>
      <w:r w:rsidRPr="00305776">
        <w:rPr>
          <w:rFonts w:ascii="仿宋_GB2312" w:eastAsia="仿宋_GB2312" w:hAnsi="华文中宋" w:hint="eastAsia"/>
          <w:b/>
          <w:color w:val="000000"/>
          <w:sz w:val="30"/>
          <w:szCs w:val="30"/>
        </w:rPr>
        <w:t>会字[</w:t>
      </w:r>
      <w:r w:rsidRPr="00305776">
        <w:rPr>
          <w:rFonts w:ascii="仿宋_GB2312" w:eastAsia="仿宋_GB2312" w:hAnsi="Times New Roman" w:hint="eastAsia"/>
          <w:b/>
          <w:color w:val="000000"/>
          <w:sz w:val="30"/>
          <w:szCs w:val="30"/>
        </w:rPr>
        <w:t>201</w:t>
      </w:r>
      <w:r>
        <w:rPr>
          <w:rFonts w:ascii="仿宋_GB2312" w:eastAsia="仿宋_GB2312" w:hAnsi="Times New Roman" w:hint="eastAsia"/>
          <w:b/>
          <w:color w:val="000000"/>
          <w:sz w:val="30"/>
          <w:szCs w:val="30"/>
        </w:rPr>
        <w:t>5</w:t>
      </w:r>
      <w:r w:rsidRPr="00305776">
        <w:rPr>
          <w:rFonts w:ascii="仿宋_GB2312" w:eastAsia="仿宋_GB2312" w:hAnsi="华文中宋" w:hint="eastAsia"/>
          <w:b/>
          <w:color w:val="000000"/>
          <w:sz w:val="30"/>
          <w:szCs w:val="30"/>
        </w:rPr>
        <w:t>]</w:t>
      </w:r>
      <w:r>
        <w:rPr>
          <w:rFonts w:ascii="仿宋_GB2312" w:eastAsia="仿宋_GB2312" w:hAnsi="华文中宋" w:hint="eastAsia"/>
          <w:b/>
          <w:color w:val="000000"/>
          <w:sz w:val="30"/>
          <w:szCs w:val="30"/>
        </w:rPr>
        <w:t>21</w:t>
      </w:r>
      <w:r w:rsidRPr="00305776">
        <w:rPr>
          <w:rFonts w:ascii="仿宋_GB2312" w:eastAsia="仿宋_GB2312" w:hAnsi="华文中宋" w:hint="eastAsia"/>
          <w:b/>
          <w:color w:val="000000"/>
          <w:sz w:val="30"/>
          <w:szCs w:val="30"/>
        </w:rPr>
        <w:t>号</w:t>
      </w:r>
    </w:p>
    <w:p w:rsidR="00B84160" w:rsidRPr="006C3C14" w:rsidRDefault="00B84160" w:rsidP="00B84160">
      <w:pPr>
        <w:jc w:val="center"/>
        <w:rPr>
          <w:rFonts w:ascii="华文中宋" w:eastAsia="华文中宋" w:hAnsi="华文中宋"/>
          <w:b/>
          <w:sz w:val="28"/>
          <w:szCs w:val="28"/>
        </w:rPr>
      </w:pPr>
    </w:p>
    <w:p w:rsidR="00EB6601" w:rsidRPr="00B84160" w:rsidRDefault="00EB6601" w:rsidP="00B84160">
      <w:pPr>
        <w:spacing w:beforeLines="100" w:before="312" w:line="560" w:lineRule="exact"/>
        <w:jc w:val="center"/>
        <w:outlineLvl w:val="0"/>
        <w:rPr>
          <w:rFonts w:ascii="华文中宋" w:eastAsia="华文中宋" w:hAnsi="华文中宋"/>
          <w:b/>
          <w:sz w:val="44"/>
          <w:szCs w:val="44"/>
        </w:rPr>
      </w:pPr>
      <w:r w:rsidRPr="00B84160">
        <w:rPr>
          <w:rFonts w:ascii="华文中宋" w:eastAsia="华文中宋" w:hAnsi="华文中宋" w:hint="eastAsia"/>
          <w:b/>
          <w:sz w:val="44"/>
          <w:szCs w:val="44"/>
        </w:rPr>
        <w:t>关于举行第</w:t>
      </w:r>
      <w:r w:rsidR="00FC2C52" w:rsidRPr="00B84160">
        <w:rPr>
          <w:rFonts w:ascii="华文中宋" w:eastAsia="华文中宋" w:hAnsi="华文中宋" w:hint="eastAsia"/>
          <w:b/>
          <w:sz w:val="44"/>
          <w:szCs w:val="44"/>
        </w:rPr>
        <w:t>十</w:t>
      </w:r>
      <w:r w:rsidRPr="00B84160">
        <w:rPr>
          <w:rFonts w:ascii="华文中宋" w:eastAsia="华文中宋" w:hAnsi="华文中宋" w:hint="eastAsia"/>
          <w:b/>
          <w:sz w:val="44"/>
          <w:szCs w:val="44"/>
        </w:rPr>
        <w:t>届</w:t>
      </w:r>
      <w:r w:rsidR="009B5347" w:rsidRPr="00B84160">
        <w:rPr>
          <w:rFonts w:ascii="华文中宋" w:eastAsia="华文中宋" w:hAnsi="华文中宋"/>
          <w:b/>
          <w:sz w:val="44"/>
          <w:szCs w:val="44"/>
        </w:rPr>
        <w:t>“</w:t>
      </w:r>
      <w:r w:rsidRPr="00B84160">
        <w:rPr>
          <w:rFonts w:ascii="华文中宋" w:eastAsia="华文中宋" w:hAnsi="华文中宋" w:hint="eastAsia"/>
          <w:b/>
          <w:sz w:val="44"/>
          <w:szCs w:val="44"/>
        </w:rPr>
        <w:t>中国法学青年论坛</w:t>
      </w:r>
      <w:r w:rsidR="009B5347" w:rsidRPr="00B84160">
        <w:rPr>
          <w:rFonts w:ascii="华文中宋" w:eastAsia="华文中宋" w:hAnsi="华文中宋"/>
          <w:b/>
          <w:sz w:val="44"/>
          <w:szCs w:val="44"/>
        </w:rPr>
        <w:t>”</w:t>
      </w:r>
    </w:p>
    <w:p w:rsidR="00EB6601" w:rsidRPr="00B84160" w:rsidRDefault="00EB6601" w:rsidP="00073434">
      <w:pPr>
        <w:spacing w:line="560" w:lineRule="exact"/>
        <w:jc w:val="center"/>
        <w:outlineLvl w:val="0"/>
        <w:rPr>
          <w:rFonts w:ascii="华文中宋" w:eastAsia="华文中宋" w:hAnsi="华文中宋"/>
          <w:b/>
          <w:sz w:val="44"/>
          <w:szCs w:val="44"/>
        </w:rPr>
      </w:pPr>
      <w:r w:rsidRPr="00B84160">
        <w:rPr>
          <w:rFonts w:ascii="华文中宋" w:eastAsia="华文中宋" w:hAnsi="华文中宋" w:hint="eastAsia"/>
          <w:b/>
          <w:sz w:val="44"/>
          <w:szCs w:val="44"/>
        </w:rPr>
        <w:t>主题征文活动的</w:t>
      </w:r>
      <w:r w:rsidR="00E12113" w:rsidRPr="00B84160">
        <w:rPr>
          <w:rFonts w:ascii="华文中宋" w:eastAsia="华文中宋" w:hAnsi="华文中宋" w:hint="eastAsia"/>
          <w:b/>
          <w:sz w:val="44"/>
          <w:szCs w:val="44"/>
        </w:rPr>
        <w:t>通知</w:t>
      </w:r>
    </w:p>
    <w:p w:rsidR="00EB6601" w:rsidRDefault="00EB6601">
      <w:pPr>
        <w:spacing w:line="400" w:lineRule="exact"/>
        <w:rPr>
          <w:rFonts w:ascii="仿宋" w:eastAsia="仿宋" w:hAnsi="仿宋"/>
          <w:b/>
          <w:bCs/>
          <w:sz w:val="30"/>
        </w:rPr>
      </w:pPr>
    </w:p>
    <w:p w:rsidR="00CB3A5C" w:rsidRPr="00CB3A5C" w:rsidRDefault="00CB3A5C">
      <w:pPr>
        <w:spacing w:line="400" w:lineRule="exact"/>
        <w:rPr>
          <w:rFonts w:ascii="仿宋" w:eastAsia="仿宋" w:hAnsi="仿宋"/>
          <w:b/>
          <w:bCs/>
          <w:sz w:val="30"/>
        </w:rPr>
      </w:pPr>
    </w:p>
    <w:p w:rsidR="00020D37" w:rsidRPr="001C13FA" w:rsidRDefault="00020D37" w:rsidP="00A20245">
      <w:pPr>
        <w:pStyle w:val="p0"/>
        <w:snapToGrid w:val="0"/>
        <w:spacing w:before="0" w:beforeAutospacing="0" w:after="0" w:afterAutospacing="0" w:line="500" w:lineRule="exact"/>
        <w:rPr>
          <w:rFonts w:ascii="仿宋_GB2312" w:eastAsia="仿宋_GB2312" w:hAnsi="Arial" w:cs="Arial"/>
          <w:b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各有关单位：</w:t>
      </w:r>
    </w:p>
    <w:p w:rsidR="00020D37" w:rsidRPr="001C13FA" w:rsidRDefault="00506B97" w:rsidP="00653C14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A23339">
        <w:rPr>
          <w:rFonts w:ascii="仿宋_GB2312" w:eastAsia="仿宋_GB2312" w:hint="eastAsia"/>
          <w:color w:val="000000" w:themeColor="text1"/>
          <w:sz w:val="32"/>
          <w:szCs w:val="32"/>
        </w:rPr>
        <w:t>高效的法治实施体系是建设中国特色社会主义法治体系的</w:t>
      </w:r>
      <w:r w:rsidR="00C3034C">
        <w:rPr>
          <w:rFonts w:ascii="仿宋_GB2312" w:eastAsia="仿宋_GB2312" w:hint="eastAsia"/>
          <w:color w:val="000000" w:themeColor="text1"/>
          <w:sz w:val="32"/>
          <w:szCs w:val="32"/>
        </w:rPr>
        <w:t>中心环节</w:t>
      </w:r>
      <w:r w:rsidR="00260A7F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3034C" w:rsidRPr="00C3034C">
        <w:rPr>
          <w:rFonts w:ascii="仿宋_GB2312" w:eastAsia="仿宋_GB2312" w:hint="eastAsia"/>
          <w:color w:val="000000" w:themeColor="text1"/>
          <w:sz w:val="32"/>
          <w:szCs w:val="32"/>
        </w:rPr>
        <w:t>是全面推进依法治国的核心议题</w:t>
      </w:r>
      <w:r w:rsidR="00C3034C">
        <w:rPr>
          <w:rFonts w:ascii="仿宋_GB2312" w:eastAsia="仿宋_GB2312" w:hint="eastAsia"/>
          <w:color w:val="000000" w:themeColor="text1"/>
          <w:sz w:val="32"/>
          <w:szCs w:val="32"/>
        </w:rPr>
        <w:t>和</w:t>
      </w:r>
      <w:r w:rsidRPr="00A23339">
        <w:rPr>
          <w:rFonts w:ascii="仿宋_GB2312" w:eastAsia="仿宋_GB2312" w:hint="eastAsia"/>
          <w:color w:val="000000" w:themeColor="text1"/>
          <w:sz w:val="32"/>
          <w:szCs w:val="32"/>
        </w:rPr>
        <w:t>衡量法治中国建设成效的重要标志。为</w:t>
      </w:r>
      <w:r w:rsidR="00A23339" w:rsidRPr="00A23339">
        <w:rPr>
          <w:rFonts w:ascii="仿宋_GB2312" w:eastAsia="仿宋_GB2312" w:hint="eastAsia"/>
          <w:color w:val="000000" w:themeColor="text1"/>
          <w:sz w:val="32"/>
          <w:szCs w:val="32"/>
        </w:rPr>
        <w:t>引导广大法学、法律工作者围绕</w:t>
      </w:r>
      <w:r w:rsidR="00543D97">
        <w:rPr>
          <w:rFonts w:ascii="仿宋_GB2312" w:eastAsia="仿宋_GB2312" w:hint="eastAsia"/>
          <w:color w:val="000000" w:themeColor="text1"/>
          <w:sz w:val="32"/>
          <w:szCs w:val="32"/>
        </w:rPr>
        <w:t>法治</w:t>
      </w:r>
      <w:r w:rsidR="000B566C">
        <w:rPr>
          <w:rFonts w:ascii="仿宋_GB2312" w:eastAsia="仿宋_GB2312" w:hint="eastAsia"/>
          <w:color w:val="000000" w:themeColor="text1"/>
          <w:sz w:val="32"/>
          <w:szCs w:val="32"/>
        </w:rPr>
        <w:t>实施</w:t>
      </w:r>
      <w:r w:rsidR="00C3034C">
        <w:rPr>
          <w:rFonts w:ascii="仿宋_GB2312" w:eastAsia="仿宋_GB2312" w:hint="eastAsia"/>
          <w:color w:val="000000" w:themeColor="text1"/>
          <w:sz w:val="32"/>
          <w:szCs w:val="32"/>
        </w:rPr>
        <w:t>中的重要理论与实践问题</w:t>
      </w:r>
      <w:r w:rsidR="004B5F30">
        <w:rPr>
          <w:rFonts w:ascii="仿宋_GB2312" w:eastAsia="仿宋_GB2312" w:hint="eastAsia"/>
          <w:color w:val="000000" w:themeColor="text1"/>
          <w:sz w:val="32"/>
          <w:szCs w:val="32"/>
        </w:rPr>
        <w:t>展开</w:t>
      </w:r>
      <w:r w:rsidR="00A23339" w:rsidRPr="00A23339">
        <w:rPr>
          <w:rFonts w:ascii="仿宋_GB2312" w:eastAsia="仿宋_GB2312" w:hint="eastAsia"/>
          <w:color w:val="000000" w:themeColor="text1"/>
          <w:sz w:val="32"/>
          <w:szCs w:val="32"/>
        </w:rPr>
        <w:t>研讨，</w:t>
      </w:r>
      <w:r w:rsidR="004B5F30">
        <w:rPr>
          <w:rFonts w:ascii="仿宋_GB2312" w:eastAsia="仿宋_GB2312" w:hint="eastAsia"/>
          <w:color w:val="000000" w:themeColor="text1"/>
          <w:sz w:val="32"/>
          <w:szCs w:val="32"/>
        </w:rPr>
        <w:t>创新</w:t>
      </w:r>
      <w:r w:rsidR="000B566C" w:rsidRPr="00A23339">
        <w:rPr>
          <w:rFonts w:ascii="仿宋_GB2312" w:eastAsia="仿宋_GB2312" w:hint="eastAsia"/>
          <w:color w:val="000000" w:themeColor="text1"/>
          <w:sz w:val="32"/>
          <w:szCs w:val="32"/>
        </w:rPr>
        <w:t>法治实施</w:t>
      </w:r>
      <w:r w:rsidR="00A06732" w:rsidRPr="00A23339">
        <w:rPr>
          <w:rFonts w:ascii="仿宋_GB2312" w:eastAsia="仿宋_GB2312" w:hint="eastAsia"/>
          <w:color w:val="000000" w:themeColor="text1"/>
          <w:sz w:val="32"/>
          <w:szCs w:val="32"/>
        </w:rPr>
        <w:t>体制</w:t>
      </w:r>
      <w:r w:rsidR="000B566C" w:rsidRPr="00A23339">
        <w:rPr>
          <w:rFonts w:ascii="仿宋_GB2312" w:eastAsia="仿宋_GB2312" w:hint="eastAsia"/>
          <w:color w:val="000000" w:themeColor="text1"/>
          <w:sz w:val="32"/>
          <w:szCs w:val="32"/>
        </w:rPr>
        <w:t>机制</w:t>
      </w:r>
      <w:r w:rsidR="000B566C">
        <w:rPr>
          <w:rFonts w:ascii="仿宋_GB2312" w:eastAsia="仿宋_GB2312" w:hint="eastAsia"/>
          <w:color w:val="000000" w:themeColor="text1"/>
          <w:sz w:val="32"/>
          <w:szCs w:val="32"/>
        </w:rPr>
        <w:t>，全面加强法治实施能力</w:t>
      </w:r>
      <w:r w:rsidR="00036651">
        <w:rPr>
          <w:rFonts w:ascii="仿宋_GB2312" w:eastAsia="仿宋_GB2312" w:hint="eastAsia"/>
          <w:color w:val="000000" w:themeColor="text1"/>
          <w:sz w:val="32"/>
          <w:szCs w:val="32"/>
        </w:rPr>
        <w:t>建设</w:t>
      </w:r>
      <w:r w:rsidR="00260A7F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020D37" w:rsidRPr="001C13FA">
        <w:rPr>
          <w:rFonts w:ascii="仿宋_GB2312" w:eastAsia="仿宋_GB2312" w:hint="eastAsia"/>
          <w:b/>
          <w:sz w:val="32"/>
          <w:szCs w:val="32"/>
        </w:rPr>
        <w:t>论坛组委会决定以“</w:t>
      </w:r>
      <w:r w:rsidR="00FC2C52" w:rsidRPr="00FC2C52">
        <w:rPr>
          <w:rFonts w:ascii="仿宋_GB2312" w:eastAsia="仿宋_GB2312" w:hint="eastAsia"/>
          <w:b/>
          <w:sz w:val="32"/>
          <w:szCs w:val="32"/>
        </w:rPr>
        <w:t>完善中国特色社会主义法治实施体系</w:t>
      </w:r>
      <w:r w:rsidR="00020D37" w:rsidRPr="001C13FA">
        <w:rPr>
          <w:rFonts w:ascii="仿宋_GB2312" w:eastAsia="仿宋_GB2312" w:hint="eastAsia"/>
          <w:b/>
          <w:sz w:val="32"/>
          <w:szCs w:val="32"/>
        </w:rPr>
        <w:t>”作为第</w:t>
      </w:r>
      <w:r w:rsidR="00FC2C52">
        <w:rPr>
          <w:rFonts w:ascii="仿宋_GB2312" w:eastAsia="仿宋_GB2312" w:hint="eastAsia"/>
          <w:b/>
          <w:sz w:val="32"/>
          <w:szCs w:val="32"/>
        </w:rPr>
        <w:t>十</w:t>
      </w:r>
      <w:r w:rsidR="00020D37" w:rsidRPr="001C13FA">
        <w:rPr>
          <w:rFonts w:ascii="仿宋_GB2312" w:eastAsia="仿宋_GB2312" w:hint="eastAsia"/>
          <w:b/>
          <w:sz w:val="32"/>
          <w:szCs w:val="32"/>
        </w:rPr>
        <w:t>届中国法学青年论坛的主题。</w:t>
      </w:r>
      <w:r w:rsidR="00E32BE4" w:rsidRPr="00E32BE4">
        <w:rPr>
          <w:rFonts w:ascii="仿宋_GB2312" w:eastAsia="仿宋_GB2312" w:hAnsi="Arial" w:cs="Arial" w:hint="eastAsia"/>
          <w:color w:val="000000"/>
          <w:sz w:val="32"/>
          <w:szCs w:val="32"/>
        </w:rPr>
        <w:t>本届</w:t>
      </w:r>
      <w:r w:rsidR="00B24381" w:rsidRPr="00365678">
        <w:rPr>
          <w:rFonts w:ascii="仿宋_GB2312" w:eastAsia="仿宋_GB2312" w:hAnsi="Arial" w:cs="Arial" w:hint="eastAsia"/>
          <w:color w:val="000000"/>
          <w:sz w:val="32"/>
          <w:szCs w:val="32"/>
        </w:rPr>
        <w:t>论坛由</w:t>
      </w:r>
      <w:r w:rsidR="00E32BE4" w:rsidRPr="00365678">
        <w:rPr>
          <w:rFonts w:ascii="仿宋_GB2312" w:eastAsia="仿宋_GB2312" w:hAnsi="Arial" w:cs="Arial" w:hint="eastAsia"/>
          <w:color w:val="000000"/>
          <w:sz w:val="32"/>
          <w:szCs w:val="32"/>
        </w:rPr>
        <w:t>中央政法委员会、最高人民法院、最高人民检察院、共青团中央指导</w:t>
      </w:r>
      <w:r w:rsidR="00E32BE4">
        <w:rPr>
          <w:rFonts w:ascii="仿宋_GB2312" w:eastAsia="仿宋_GB2312" w:hAnsi="Arial" w:cs="Arial" w:hint="eastAsia"/>
          <w:color w:val="000000"/>
          <w:sz w:val="32"/>
          <w:szCs w:val="32"/>
        </w:rPr>
        <w:t>，</w:t>
      </w:r>
      <w:r w:rsidR="00B24381" w:rsidRPr="00365678">
        <w:rPr>
          <w:rFonts w:ascii="仿宋_GB2312" w:eastAsia="仿宋_GB2312" w:hAnsi="Arial" w:cs="Arial" w:hint="eastAsia"/>
          <w:color w:val="000000"/>
          <w:sz w:val="32"/>
          <w:szCs w:val="32"/>
        </w:rPr>
        <w:t>中国法学会主办，</w:t>
      </w:r>
      <w:r w:rsidR="00112B5E">
        <w:rPr>
          <w:rFonts w:ascii="仿宋_GB2312" w:eastAsia="仿宋_GB2312" w:hAnsi="Arial" w:cs="Arial" w:hint="eastAsia"/>
          <w:color w:val="000000"/>
          <w:sz w:val="32"/>
          <w:szCs w:val="32"/>
        </w:rPr>
        <w:t>中国青年政治学院</w:t>
      </w:r>
      <w:r w:rsidR="00E32BE4">
        <w:rPr>
          <w:rFonts w:ascii="仿宋_GB2312" w:eastAsia="仿宋_GB2312" w:hAnsi="Arial" w:cs="Arial" w:hint="eastAsia"/>
          <w:color w:val="000000"/>
          <w:sz w:val="32"/>
          <w:szCs w:val="32"/>
        </w:rPr>
        <w:t>承办，</w:t>
      </w:r>
      <w:r w:rsidR="00B24381" w:rsidRPr="00365678">
        <w:rPr>
          <w:rFonts w:ascii="仿宋_GB2312" w:eastAsia="仿宋_GB2312" w:hAnsi="Arial" w:cs="Arial" w:hint="eastAsia"/>
          <w:color w:val="000000"/>
          <w:sz w:val="32"/>
          <w:szCs w:val="32"/>
        </w:rPr>
        <w:t>法制日报社、</w:t>
      </w:r>
      <w:r w:rsidR="00B24381">
        <w:rPr>
          <w:rFonts w:ascii="仿宋_GB2312" w:eastAsia="仿宋_GB2312" w:hAnsi="Arial" w:cs="Arial" w:hint="eastAsia"/>
          <w:color w:val="000000"/>
          <w:sz w:val="32"/>
          <w:szCs w:val="32"/>
        </w:rPr>
        <w:t>人民法院报社、检察日报社、</w:t>
      </w:r>
      <w:r w:rsidR="00B24381" w:rsidRPr="00365678">
        <w:rPr>
          <w:rFonts w:ascii="仿宋_GB2312" w:eastAsia="仿宋_GB2312" w:hAnsi="Arial" w:cs="Arial" w:hint="eastAsia"/>
          <w:color w:val="000000"/>
          <w:sz w:val="32"/>
          <w:szCs w:val="32"/>
        </w:rPr>
        <w:t>中国法学杂志社</w:t>
      </w:r>
      <w:r w:rsidR="00112B5E">
        <w:rPr>
          <w:rFonts w:ascii="仿宋_GB2312" w:eastAsia="仿宋_GB2312" w:hAnsi="Arial" w:cs="Arial" w:hint="eastAsia"/>
          <w:color w:val="000000"/>
          <w:sz w:val="32"/>
          <w:szCs w:val="32"/>
        </w:rPr>
        <w:t>、</w:t>
      </w:r>
      <w:r w:rsidR="00112B5E" w:rsidRPr="00112B5E">
        <w:rPr>
          <w:rFonts w:ascii="仿宋_GB2312" w:eastAsia="仿宋_GB2312" w:hAnsi="Arial" w:cs="Arial" w:hint="eastAsia"/>
          <w:color w:val="000000"/>
          <w:sz w:val="32"/>
          <w:szCs w:val="32"/>
        </w:rPr>
        <w:t>清华法学杂志社、中国法学</w:t>
      </w:r>
      <w:r w:rsidR="00112B5E" w:rsidRPr="00112B5E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会董必武法学思想研究会</w:t>
      </w:r>
      <w:r w:rsidR="00B24381" w:rsidRPr="00365678">
        <w:rPr>
          <w:rFonts w:ascii="仿宋_GB2312" w:eastAsia="仿宋_GB2312" w:hAnsi="Arial" w:cs="Arial" w:hint="eastAsia"/>
          <w:color w:val="000000"/>
          <w:sz w:val="32"/>
          <w:szCs w:val="32"/>
        </w:rPr>
        <w:t>协办，</w:t>
      </w:r>
      <w:r w:rsidR="00E32BE4">
        <w:rPr>
          <w:rFonts w:ascii="仿宋_GB2312" w:eastAsia="仿宋_GB2312" w:hAnsi="Arial" w:cs="Arial" w:hint="eastAsia"/>
          <w:color w:val="000000"/>
          <w:sz w:val="32"/>
          <w:szCs w:val="32"/>
        </w:rPr>
        <w:t>拟</w:t>
      </w:r>
      <w:r w:rsidR="00020D37" w:rsidRPr="001C13FA">
        <w:rPr>
          <w:rFonts w:ascii="仿宋_GB2312" w:eastAsia="仿宋_GB2312" w:hint="eastAsia"/>
          <w:sz w:val="32"/>
          <w:szCs w:val="32"/>
        </w:rPr>
        <w:t>于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201</w:t>
      </w:r>
      <w:r w:rsidR="00112B5E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5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年10月中下旬在</w:t>
      </w:r>
      <w:r w:rsidR="00112B5E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北京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举行。届时将邀请中央政法委、最高人民法院、最高人民检察院</w:t>
      </w:r>
      <w:r w:rsidR="00112B5E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、</w:t>
      </w:r>
      <w:r w:rsidR="00112B5E" w:rsidRPr="00365678">
        <w:rPr>
          <w:rFonts w:ascii="仿宋_GB2312" w:eastAsia="仿宋_GB2312" w:hAnsi="Arial" w:cs="Arial" w:hint="eastAsia"/>
          <w:color w:val="000000"/>
          <w:sz w:val="32"/>
          <w:szCs w:val="32"/>
        </w:rPr>
        <w:t>共青团中央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等中央部门的领导和全国知名法学家出席论坛。</w:t>
      </w:r>
    </w:p>
    <w:p w:rsidR="00020D37" w:rsidRPr="001C13FA" w:rsidRDefault="00020D37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为了确保论坛开展富有成效</w:t>
      </w:r>
      <w:r w:rsidR="00653C14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的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研讨，并为中央有关部门提供既有理论意义、更有实践价值的决策参考，中国法学会特开展“</w:t>
      </w:r>
      <w:r w:rsidR="00D915D5" w:rsidRPr="00D915D5">
        <w:rPr>
          <w:rFonts w:ascii="仿宋_GB2312" w:eastAsia="仿宋_GB2312" w:hAnsi="Arial" w:cs="Arial" w:hint="eastAsia"/>
          <w:b/>
          <w:color w:val="000000"/>
          <w:kern w:val="2"/>
          <w:sz w:val="32"/>
          <w:szCs w:val="32"/>
        </w:rPr>
        <w:t>完善中国特色社会主义法治实施体系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”主题征文活动。</w:t>
      </w:r>
    </w:p>
    <w:p w:rsidR="00020D37" w:rsidRPr="001C13FA" w:rsidRDefault="00020D37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现将有关事项说明如下：</w:t>
      </w:r>
    </w:p>
    <w:p w:rsidR="00020D37" w:rsidRPr="001C13FA" w:rsidRDefault="00020D37" w:rsidP="00A20245">
      <w:pPr>
        <w:pStyle w:val="p0"/>
        <w:snapToGrid w:val="0"/>
        <w:spacing w:before="0" w:beforeAutospacing="0" w:after="0" w:afterAutospacing="0" w:line="500" w:lineRule="exact"/>
        <w:ind w:firstLineChars="200" w:firstLine="643"/>
        <w:rPr>
          <w:rFonts w:ascii="仿宋_GB2312" w:eastAsia="仿宋_GB2312" w:hAnsi="Arial" w:cs="Arial"/>
          <w:b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b/>
          <w:color w:val="000000"/>
          <w:kern w:val="2"/>
          <w:sz w:val="32"/>
          <w:szCs w:val="32"/>
        </w:rPr>
        <w:t>一、投稿须知</w:t>
      </w:r>
    </w:p>
    <w:p w:rsidR="00020D37" w:rsidRPr="001C13FA" w:rsidRDefault="00020D37" w:rsidP="00977237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1.作者</w:t>
      </w:r>
      <w:r w:rsidR="00743DA0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可以是法学院所的教学科研人员、政法干警</w:t>
      </w:r>
      <w:r w:rsidR="005C62B0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、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在读博士生或博士后及其他法学法律工作者</w:t>
      </w:r>
      <w:r w:rsidR="005C62B0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等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。</w:t>
      </w:r>
    </w:p>
    <w:p w:rsidR="00020D37" w:rsidRPr="001C13FA" w:rsidRDefault="00020D37" w:rsidP="00977237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2.字数不得少于6000字，一般不超过15000字。注释规范参照《中国法学》。首页脚注写明作者姓名、出生年月、单位、职务职称、手机号码、通信地址、邮编、Email地址。</w:t>
      </w:r>
    </w:p>
    <w:p w:rsidR="00020D37" w:rsidRPr="001C13FA" w:rsidRDefault="00020D37" w:rsidP="00977237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 w:themeColor="text1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3.征文请发至</w:t>
      </w:r>
      <w:r w:rsidRPr="00985DB7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qnlt666</w:t>
      </w:r>
      <w:r w:rsidRPr="00985DB7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@</w:t>
      </w:r>
      <w:r w:rsidRPr="00985DB7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163.com</w:t>
      </w:r>
      <w:r w:rsidRPr="001C13FA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，电子文档名称为作者姓名+论文标题</w:t>
      </w:r>
      <w:r w:rsidR="007C09AF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。另</w:t>
      </w:r>
      <w:r w:rsidRPr="001C13FA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附个人简历（包括照片、教育经历、工作单位、职务职称、主要科研成果等）。请勿重复投稿。</w:t>
      </w:r>
    </w:p>
    <w:p w:rsidR="00020D37" w:rsidRPr="00B717B1" w:rsidRDefault="00020D37" w:rsidP="00977237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 w:themeColor="text1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4</w:t>
      </w:r>
      <w:r w:rsidRPr="00B717B1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.征文截止日期：</w:t>
      </w:r>
      <w:r w:rsidRPr="003B5EAB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201</w:t>
      </w:r>
      <w:r w:rsidR="00D915D5" w:rsidRPr="003B5EAB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5</w:t>
      </w:r>
      <w:r w:rsidRPr="003B5EAB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年</w:t>
      </w:r>
      <w:r w:rsidR="006A349A" w:rsidRPr="003B5EAB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7</w:t>
      </w:r>
      <w:r w:rsidRPr="003B5EAB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月</w:t>
      </w:r>
      <w:r w:rsidR="006A349A" w:rsidRPr="003B5EAB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1</w:t>
      </w:r>
      <w:r w:rsidR="00DE78D5" w:rsidRPr="003B5EAB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5</w:t>
      </w:r>
      <w:r w:rsidRPr="003B5EAB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日</w:t>
      </w:r>
      <w:r w:rsidRPr="00B717B1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。</w:t>
      </w:r>
    </w:p>
    <w:p w:rsidR="00020D37" w:rsidRPr="00B717B1" w:rsidRDefault="00020D37" w:rsidP="00A20245">
      <w:pPr>
        <w:pStyle w:val="p0"/>
        <w:snapToGrid w:val="0"/>
        <w:spacing w:before="0" w:beforeAutospacing="0" w:after="0" w:afterAutospacing="0" w:line="50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kern w:val="2"/>
          <w:sz w:val="32"/>
          <w:szCs w:val="32"/>
        </w:rPr>
      </w:pPr>
      <w:r w:rsidRPr="00B717B1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二、选题指引</w:t>
      </w:r>
    </w:p>
    <w:p w:rsidR="00020D37" w:rsidRPr="00B717B1" w:rsidRDefault="00020D37" w:rsidP="00A20245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B717B1">
        <w:rPr>
          <w:rFonts w:ascii="仿宋_GB2312" w:eastAsia="仿宋_GB2312" w:hint="eastAsia"/>
          <w:color w:val="000000" w:themeColor="text1"/>
          <w:sz w:val="32"/>
          <w:szCs w:val="32"/>
        </w:rPr>
        <w:t>建议作者针对但不限于以下选题展开：</w:t>
      </w:r>
    </w:p>
    <w:p w:rsidR="00B717B1" w:rsidRPr="00B717B1" w:rsidRDefault="00B717B1" w:rsidP="00B717B1">
      <w:pPr>
        <w:pStyle w:val="a9"/>
        <w:spacing w:line="50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</w:rPr>
        <w:t>（一）法治实施的基础理论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1.法治实施的概念与意义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2.法治实施与党的领导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3.法治实施中的国家与社会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4.法治实施与社会自治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5.法治实施与善治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lastRenderedPageBreak/>
        <w:t>6.法治实施中的公平与效益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7.法治实施的动力机制问题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8.法治实施评价体系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9.法治实施的条件、环境和保障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10.当前中国法治实施存在的问题和阻力</w:t>
      </w:r>
    </w:p>
    <w:p w:rsidR="00B717B1" w:rsidRPr="00B717B1" w:rsidRDefault="00B717B1" w:rsidP="00B717B1">
      <w:pPr>
        <w:pStyle w:val="a9"/>
        <w:spacing w:line="50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</w:rPr>
        <w:t>（二）法治实施体系及相关制度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1.法治实施体系的含义与构成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2.宪法实施体系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3.执法体系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4.司法体系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5.守法体系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6.依法执政体系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7.法治实施反馈体系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8.法治实施与权利救济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9.法治实施与多元化纠纷解决机制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10.法治实施与法律文化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11.领导干部法治素养和法治能力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12.法治实施与法律监督</w:t>
      </w:r>
    </w:p>
    <w:p w:rsidR="00B717B1" w:rsidRPr="00B717B1" w:rsidRDefault="00B717B1" w:rsidP="00B717B1">
      <w:pPr>
        <w:pStyle w:val="a9"/>
        <w:spacing w:line="50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</w:rPr>
        <w:t>（三）法治实施体制机制创新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1.宪法监督与宪法解释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2.重大行政决策机制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3.综合执法体制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4.行政执法和刑事司法相衔接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5.行政裁量权基准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6.行政执法公开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7.审判权和检察权依法独立公正行使机制研究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8.公检法三机关的关系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lastRenderedPageBreak/>
        <w:t>9.司法机关行政事务管理体制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10.审判权和执行权相分离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11.法院组织体制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12.立案登记制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13.主审法官制度、主任检察官制度、主办侦查员制度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14.合议庭制度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15.司法监督与司法责任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16.案例指导制度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17.人民陪审员制度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18.信访制度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19.法律援助制度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20.人民监督员制度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21.社会组织建设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22.司法鉴定管理体制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23.人民调解制度、三调联动机制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24.法律职业准入制度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25.司法人员的招录、遴选、晋升及管理制度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26.司法人员分类管理与法官、检察官的员额制改革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27.普法制度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28.综合治理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29.法治实施中的硬法与软法</w:t>
      </w:r>
    </w:p>
    <w:p w:rsidR="00B717B1" w:rsidRPr="00B717B1" w:rsidRDefault="00B717B1" w:rsidP="00B717B1">
      <w:pPr>
        <w:pStyle w:val="a9"/>
        <w:spacing w:line="50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30.部门法实施重大问题研究</w:t>
      </w:r>
    </w:p>
    <w:p w:rsidR="00020D37" w:rsidRPr="00B717B1" w:rsidRDefault="00020D37" w:rsidP="00B717B1">
      <w:pPr>
        <w:pStyle w:val="p0"/>
        <w:snapToGrid w:val="0"/>
        <w:spacing w:before="0" w:beforeAutospacing="0" w:after="0" w:afterAutospacing="0" w:line="500" w:lineRule="exact"/>
        <w:ind w:firstLineChars="200" w:firstLine="643"/>
        <w:rPr>
          <w:rFonts w:ascii="仿宋_GB2312" w:eastAsia="仿宋_GB2312" w:hAnsi="Arial" w:cs="Arial"/>
          <w:color w:val="000000" w:themeColor="text1"/>
          <w:kern w:val="2"/>
          <w:sz w:val="32"/>
          <w:szCs w:val="32"/>
        </w:rPr>
      </w:pPr>
      <w:r w:rsidRPr="00B717B1">
        <w:rPr>
          <w:rFonts w:ascii="仿宋_GB2312" w:eastAsia="仿宋_GB2312" w:hAnsi="Arial" w:cs="Arial" w:hint="eastAsia"/>
          <w:b/>
          <w:color w:val="000000" w:themeColor="text1"/>
          <w:kern w:val="2"/>
          <w:sz w:val="32"/>
          <w:szCs w:val="32"/>
        </w:rPr>
        <w:t>三、评审与奖励</w:t>
      </w:r>
    </w:p>
    <w:p w:rsidR="00020D37" w:rsidRPr="001C13FA" w:rsidRDefault="00020D37" w:rsidP="00F2043E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b/>
          <w:color w:val="000000"/>
          <w:kern w:val="2"/>
          <w:sz w:val="32"/>
          <w:szCs w:val="32"/>
        </w:rPr>
      </w:pPr>
      <w:r w:rsidRPr="00B717B1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1.组委会将坚持“公平、公开、公正”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原则，实行专家匿名评审。届时将发布评审</w:t>
      </w:r>
      <w:r w:rsidR="00E32BE4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办法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，通过初评、复评、终评择优确定一、二、三等奖和优秀奖论文</w:t>
      </w:r>
      <w:r w:rsidR="000E1A2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（获奖总数不超过投稿总数的10%）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，以中国法学会的名义颁发荣誉证书。</w:t>
      </w:r>
    </w:p>
    <w:p w:rsidR="00020D37" w:rsidRPr="001C13FA" w:rsidRDefault="00020D37" w:rsidP="00F2043E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lastRenderedPageBreak/>
        <w:t>2.组委会将从一、二等奖论文中遴选出12位年龄不超过40周岁的作者担任论坛报告人。</w:t>
      </w:r>
    </w:p>
    <w:p w:rsidR="00020D37" w:rsidRPr="001C13FA" w:rsidRDefault="00020D37" w:rsidP="00F2043E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论坛承办单位为报告人提供交通、食宿等费用。</w:t>
      </w:r>
    </w:p>
    <w:p w:rsidR="00020D37" w:rsidRDefault="00020D37" w:rsidP="00F2043E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3.《中国法学》承诺在一等奖论文中择优2篇予以发表。</w:t>
      </w:r>
    </w:p>
    <w:p w:rsidR="000E1A2A" w:rsidRPr="001C13FA" w:rsidRDefault="000E1A2A" w:rsidP="00F2043E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4.一等奖论文自动进</w:t>
      </w:r>
      <w:r w:rsidR="00E32BE4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入</w:t>
      </w:r>
      <w:r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第</w:t>
      </w:r>
      <w:r w:rsidR="00446ACD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三</w:t>
      </w:r>
      <w:r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届董必武青年法学成果奖的终评环节。</w:t>
      </w:r>
    </w:p>
    <w:p w:rsidR="00020D37" w:rsidRPr="001C13FA" w:rsidRDefault="000E1A2A" w:rsidP="00F2043E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5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.</w:t>
      </w:r>
      <w:r w:rsidR="00D408A7" w:rsidRPr="00D408A7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组委会将根据有效稿件的组织报送情况</w:t>
      </w:r>
      <w:r w:rsidR="00D408A7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，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评出“优秀组织奖”单位若干名。</w:t>
      </w:r>
    </w:p>
    <w:p w:rsidR="00020D37" w:rsidRPr="001C13FA" w:rsidRDefault="000E1A2A" w:rsidP="00F2043E">
      <w:pPr>
        <w:pStyle w:val="p0"/>
        <w:snapToGrid w:val="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6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.颁奖仪式在</w:t>
      </w:r>
      <w:r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本届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论坛开幕式上举行。</w:t>
      </w:r>
    </w:p>
    <w:p w:rsidR="00020D37" w:rsidRPr="001C13FA" w:rsidRDefault="00020D37" w:rsidP="00A20245">
      <w:pPr>
        <w:pStyle w:val="p0"/>
        <w:snapToGrid w:val="0"/>
        <w:spacing w:before="0" w:beforeAutospacing="0" w:after="0" w:afterAutospacing="0" w:line="500" w:lineRule="exact"/>
        <w:ind w:firstLineChars="200" w:firstLine="643"/>
        <w:rPr>
          <w:rFonts w:ascii="仿宋_GB2312" w:eastAsia="仿宋_GB2312" w:hAnsi="Arial" w:cs="Arial"/>
          <w:b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b/>
          <w:color w:val="000000"/>
          <w:kern w:val="2"/>
          <w:sz w:val="32"/>
          <w:szCs w:val="32"/>
        </w:rPr>
        <w:t>四、联系方式</w:t>
      </w:r>
    </w:p>
    <w:p w:rsidR="00020D37" w:rsidRPr="001C13FA" w:rsidRDefault="00020D37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组委会办公室：北京市西城区西四南大街兵马司胡同63号中国法学会法律信息部，100034。</w:t>
      </w:r>
    </w:p>
    <w:p w:rsidR="008F35F3" w:rsidRDefault="00020D37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联</w:t>
      </w:r>
      <w:r w:rsidR="00446ACD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 xml:space="preserve"> 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系</w:t>
      </w:r>
      <w:r w:rsidR="00446ACD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 xml:space="preserve"> 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人：</w:t>
      </w:r>
      <w:proofErr w:type="gramStart"/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陈谦信</w:t>
      </w:r>
      <w:proofErr w:type="gramEnd"/>
      <w:r w:rsidR="008F35F3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 xml:space="preserve"> 博士</w:t>
      </w:r>
    </w:p>
    <w:p w:rsidR="00020D37" w:rsidRPr="001C13FA" w:rsidRDefault="00446ACD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联系</w:t>
      </w:r>
      <w:r w:rsidR="00020D37"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电话：010—66513508，13683511522</w:t>
      </w:r>
    </w:p>
    <w:p w:rsidR="006E3354" w:rsidRDefault="006E3354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</w:p>
    <w:p w:rsidR="00B717B1" w:rsidRDefault="00B717B1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</w:p>
    <w:p w:rsidR="00435132" w:rsidRPr="001C13FA" w:rsidRDefault="00435132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</w:p>
    <w:p w:rsidR="00020D37" w:rsidRPr="001C13FA" w:rsidRDefault="00020D37" w:rsidP="00FF2695">
      <w:pPr>
        <w:pStyle w:val="p0"/>
        <w:snapToGrid w:val="0"/>
        <w:spacing w:before="0" w:beforeAutospacing="0" w:after="0" w:afterAutospacing="0" w:line="500" w:lineRule="exact"/>
        <w:ind w:firstLineChars="1683" w:firstLine="5386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中国法学会</w:t>
      </w:r>
    </w:p>
    <w:p w:rsidR="00020D37" w:rsidRPr="001C13FA" w:rsidRDefault="00020D37" w:rsidP="00A20245">
      <w:pPr>
        <w:pStyle w:val="p0"/>
        <w:snapToGrid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 xml:space="preserve">                           201</w:t>
      </w:r>
      <w:r w:rsidR="00446ACD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5</w:t>
      </w:r>
      <w:r w:rsidRPr="001C13FA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年</w:t>
      </w:r>
      <w:r w:rsidR="00446ACD">
        <w:rPr>
          <w:rFonts w:ascii="仿宋_GB2312" w:eastAsia="仿宋_GB2312" w:hAnsi="Arial" w:cs="Arial" w:hint="eastAsia"/>
          <w:color w:val="000000"/>
          <w:kern w:val="2"/>
          <w:sz w:val="32"/>
          <w:szCs w:val="32"/>
        </w:rPr>
        <w:t>4</w:t>
      </w:r>
      <w:r w:rsidRPr="001674DE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月</w:t>
      </w:r>
      <w:r w:rsidR="00B717B1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1</w:t>
      </w:r>
      <w:r w:rsidR="00B848E0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7</w:t>
      </w:r>
      <w:r w:rsidRPr="001674DE">
        <w:rPr>
          <w:rFonts w:ascii="仿宋_GB2312" w:eastAsia="仿宋_GB2312" w:hAnsi="Arial" w:cs="Arial" w:hint="eastAsia"/>
          <w:color w:val="000000" w:themeColor="text1"/>
          <w:kern w:val="2"/>
          <w:sz w:val="32"/>
          <w:szCs w:val="32"/>
        </w:rPr>
        <w:t>日</w:t>
      </w:r>
    </w:p>
    <w:p w:rsidR="00EB6601" w:rsidRPr="00F97BDF" w:rsidRDefault="00EB6601" w:rsidP="00835736">
      <w:pPr>
        <w:pStyle w:val="p0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Arial" w:cs="Arial"/>
          <w:color w:val="000000"/>
          <w:kern w:val="2"/>
          <w:sz w:val="32"/>
          <w:szCs w:val="32"/>
        </w:rPr>
      </w:pPr>
    </w:p>
    <w:sectPr w:rsidR="00EB6601" w:rsidRPr="00F97BDF" w:rsidSect="006C53EE">
      <w:footerReference w:type="default" r:id="rId8"/>
      <w:pgSz w:w="11906" w:h="16838"/>
      <w:pgMar w:top="1440" w:right="1797" w:bottom="158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F4" w:rsidRDefault="001D5EF4">
      <w:r>
        <w:separator/>
      </w:r>
    </w:p>
  </w:endnote>
  <w:endnote w:type="continuationSeparator" w:id="0">
    <w:p w:rsidR="001D5EF4" w:rsidRDefault="001D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01" w:rsidRDefault="006230D7">
    <w:pPr>
      <w:pStyle w:val="a5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EB6601">
      <w:rPr>
        <w:rStyle w:val="a3"/>
      </w:rPr>
      <w:instrText xml:space="preserve"> PAGE  </w:instrText>
    </w:r>
    <w:r>
      <w:fldChar w:fldCharType="separate"/>
    </w:r>
    <w:r w:rsidR="00151C62">
      <w:rPr>
        <w:rStyle w:val="a3"/>
        <w:noProof/>
      </w:rPr>
      <w:t>1</w:t>
    </w:r>
    <w:r>
      <w:fldChar w:fldCharType="end"/>
    </w:r>
  </w:p>
  <w:p w:rsidR="00EB6601" w:rsidRDefault="00EB6601" w:rsidP="00341A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F4" w:rsidRDefault="001D5EF4">
      <w:r>
        <w:separator/>
      </w:r>
    </w:p>
  </w:footnote>
  <w:footnote w:type="continuationSeparator" w:id="0">
    <w:p w:rsidR="001D5EF4" w:rsidRDefault="001D5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D37"/>
    <w:rsid w:val="00036651"/>
    <w:rsid w:val="000538AD"/>
    <w:rsid w:val="0006357E"/>
    <w:rsid w:val="00073434"/>
    <w:rsid w:val="00084204"/>
    <w:rsid w:val="000959A9"/>
    <w:rsid w:val="000B566C"/>
    <w:rsid w:val="000C7AB9"/>
    <w:rsid w:val="000E1A2A"/>
    <w:rsid w:val="00112B5E"/>
    <w:rsid w:val="00151C62"/>
    <w:rsid w:val="001674DE"/>
    <w:rsid w:val="00172A27"/>
    <w:rsid w:val="001B2B77"/>
    <w:rsid w:val="001D5EF4"/>
    <w:rsid w:val="001F3BA7"/>
    <w:rsid w:val="00210F9A"/>
    <w:rsid w:val="002261C1"/>
    <w:rsid w:val="00235CAC"/>
    <w:rsid w:val="00260A7F"/>
    <w:rsid w:val="002701EC"/>
    <w:rsid w:val="00270A07"/>
    <w:rsid w:val="002D05C9"/>
    <w:rsid w:val="00341AF1"/>
    <w:rsid w:val="00365FF6"/>
    <w:rsid w:val="00371F4E"/>
    <w:rsid w:val="003B0B42"/>
    <w:rsid w:val="003B5EAB"/>
    <w:rsid w:val="003C0D47"/>
    <w:rsid w:val="003E692D"/>
    <w:rsid w:val="004126D6"/>
    <w:rsid w:val="00435132"/>
    <w:rsid w:val="00446ACD"/>
    <w:rsid w:val="004827B2"/>
    <w:rsid w:val="004B5F30"/>
    <w:rsid w:val="004C2A76"/>
    <w:rsid w:val="00506B97"/>
    <w:rsid w:val="00522264"/>
    <w:rsid w:val="00535216"/>
    <w:rsid w:val="00543D97"/>
    <w:rsid w:val="005668D8"/>
    <w:rsid w:val="005703F7"/>
    <w:rsid w:val="00592E5C"/>
    <w:rsid w:val="005C62B0"/>
    <w:rsid w:val="005D3853"/>
    <w:rsid w:val="005E7DAB"/>
    <w:rsid w:val="006230D7"/>
    <w:rsid w:val="00631A06"/>
    <w:rsid w:val="00640C29"/>
    <w:rsid w:val="00640D5A"/>
    <w:rsid w:val="00653C14"/>
    <w:rsid w:val="00670FB6"/>
    <w:rsid w:val="00681B26"/>
    <w:rsid w:val="006A349A"/>
    <w:rsid w:val="006C53EE"/>
    <w:rsid w:val="006E3354"/>
    <w:rsid w:val="00707AE5"/>
    <w:rsid w:val="007150E9"/>
    <w:rsid w:val="00743DA0"/>
    <w:rsid w:val="00754FD8"/>
    <w:rsid w:val="00774384"/>
    <w:rsid w:val="007A6361"/>
    <w:rsid w:val="007C09AF"/>
    <w:rsid w:val="007C2772"/>
    <w:rsid w:val="007D0AC4"/>
    <w:rsid w:val="007E2D8C"/>
    <w:rsid w:val="007F0166"/>
    <w:rsid w:val="007F6642"/>
    <w:rsid w:val="00831AE6"/>
    <w:rsid w:val="00835736"/>
    <w:rsid w:val="00842148"/>
    <w:rsid w:val="00875E80"/>
    <w:rsid w:val="00891BE3"/>
    <w:rsid w:val="008D2F51"/>
    <w:rsid w:val="008D6CF6"/>
    <w:rsid w:val="008E5E07"/>
    <w:rsid w:val="008F2FC9"/>
    <w:rsid w:val="008F35F3"/>
    <w:rsid w:val="00977237"/>
    <w:rsid w:val="00985DB7"/>
    <w:rsid w:val="00993774"/>
    <w:rsid w:val="009A4A06"/>
    <w:rsid w:val="009A6A0C"/>
    <w:rsid w:val="009B5347"/>
    <w:rsid w:val="009F5866"/>
    <w:rsid w:val="009F7A73"/>
    <w:rsid w:val="00A0490E"/>
    <w:rsid w:val="00A06732"/>
    <w:rsid w:val="00A20245"/>
    <w:rsid w:val="00A23339"/>
    <w:rsid w:val="00A35E96"/>
    <w:rsid w:val="00A722AB"/>
    <w:rsid w:val="00A765E6"/>
    <w:rsid w:val="00AA6023"/>
    <w:rsid w:val="00AC00BF"/>
    <w:rsid w:val="00AE4C0A"/>
    <w:rsid w:val="00B24381"/>
    <w:rsid w:val="00B717B1"/>
    <w:rsid w:val="00B72F00"/>
    <w:rsid w:val="00B76A82"/>
    <w:rsid w:val="00B84160"/>
    <w:rsid w:val="00B848E0"/>
    <w:rsid w:val="00BB5B93"/>
    <w:rsid w:val="00BD782C"/>
    <w:rsid w:val="00C11AEA"/>
    <w:rsid w:val="00C3034C"/>
    <w:rsid w:val="00CB3A5C"/>
    <w:rsid w:val="00CD6798"/>
    <w:rsid w:val="00D217B3"/>
    <w:rsid w:val="00D408A7"/>
    <w:rsid w:val="00D915D5"/>
    <w:rsid w:val="00DA1AF2"/>
    <w:rsid w:val="00DE78D5"/>
    <w:rsid w:val="00DF5C3F"/>
    <w:rsid w:val="00E00100"/>
    <w:rsid w:val="00E12113"/>
    <w:rsid w:val="00E267A4"/>
    <w:rsid w:val="00E32BE4"/>
    <w:rsid w:val="00E3619F"/>
    <w:rsid w:val="00E73A4D"/>
    <w:rsid w:val="00E920AE"/>
    <w:rsid w:val="00EB6601"/>
    <w:rsid w:val="00EB6D3C"/>
    <w:rsid w:val="00EC015B"/>
    <w:rsid w:val="00F01841"/>
    <w:rsid w:val="00F2043E"/>
    <w:rsid w:val="00F46FD1"/>
    <w:rsid w:val="00F56D8C"/>
    <w:rsid w:val="00F60A3C"/>
    <w:rsid w:val="00F97BDF"/>
    <w:rsid w:val="00FC2C52"/>
    <w:rsid w:val="00FF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0D5A"/>
  </w:style>
  <w:style w:type="character" w:customStyle="1" w:styleId="Char">
    <w:name w:val="页眉 Char"/>
    <w:basedOn w:val="a0"/>
    <w:link w:val="a4"/>
    <w:rsid w:val="00640D5A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640D5A"/>
    <w:rPr>
      <w:kern w:val="2"/>
      <w:sz w:val="18"/>
      <w:szCs w:val="18"/>
    </w:rPr>
  </w:style>
  <w:style w:type="character" w:customStyle="1" w:styleId="Char1">
    <w:name w:val="文档结构图 Char"/>
    <w:basedOn w:val="a0"/>
    <w:link w:val="a6"/>
    <w:rsid w:val="00640D5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"/>
    <w:rsid w:val="00640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link w:val="Char1"/>
    <w:rsid w:val="00640D5A"/>
    <w:rPr>
      <w:rFonts w:ascii="宋体"/>
      <w:sz w:val="18"/>
      <w:szCs w:val="18"/>
    </w:rPr>
  </w:style>
  <w:style w:type="paragraph" w:styleId="a5">
    <w:name w:val="footer"/>
    <w:basedOn w:val="a"/>
    <w:link w:val="Char0"/>
    <w:rsid w:val="00640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qFormat/>
    <w:rsid w:val="00640D5A"/>
    <w:pPr>
      <w:ind w:firstLineChars="200" w:firstLine="420"/>
    </w:pPr>
  </w:style>
  <w:style w:type="paragraph" w:customStyle="1" w:styleId="p0">
    <w:name w:val="p0"/>
    <w:basedOn w:val="a"/>
    <w:rsid w:val="00DA1A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E2D8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2D8C"/>
    <w:rPr>
      <w:kern w:val="2"/>
      <w:sz w:val="18"/>
      <w:szCs w:val="18"/>
    </w:rPr>
  </w:style>
  <w:style w:type="paragraph" w:styleId="a9">
    <w:name w:val="No Spacing"/>
    <w:uiPriority w:val="1"/>
    <w:qFormat/>
    <w:rsid w:val="00A202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0D5A"/>
  </w:style>
  <w:style w:type="character" w:customStyle="1" w:styleId="Char">
    <w:name w:val="页眉 Char"/>
    <w:basedOn w:val="a0"/>
    <w:link w:val="a4"/>
    <w:rsid w:val="00640D5A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640D5A"/>
    <w:rPr>
      <w:kern w:val="2"/>
      <w:sz w:val="18"/>
      <w:szCs w:val="18"/>
    </w:rPr>
  </w:style>
  <w:style w:type="character" w:customStyle="1" w:styleId="Char1">
    <w:name w:val="文档结构图 Char"/>
    <w:basedOn w:val="a0"/>
    <w:link w:val="a6"/>
    <w:rsid w:val="00640D5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"/>
    <w:rsid w:val="00640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link w:val="Char1"/>
    <w:rsid w:val="00640D5A"/>
    <w:rPr>
      <w:rFonts w:ascii="宋体"/>
      <w:sz w:val="18"/>
      <w:szCs w:val="18"/>
    </w:rPr>
  </w:style>
  <w:style w:type="paragraph" w:styleId="a5">
    <w:name w:val="footer"/>
    <w:basedOn w:val="a"/>
    <w:link w:val="Char0"/>
    <w:rsid w:val="00640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qFormat/>
    <w:rsid w:val="00640D5A"/>
    <w:pPr>
      <w:ind w:firstLineChars="200" w:firstLine="420"/>
    </w:pPr>
  </w:style>
  <w:style w:type="paragraph" w:customStyle="1" w:styleId="p0">
    <w:name w:val="p0"/>
    <w:basedOn w:val="a"/>
    <w:rsid w:val="00DA1A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E2D8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2D8C"/>
    <w:rPr>
      <w:kern w:val="2"/>
      <w:sz w:val="18"/>
      <w:szCs w:val="18"/>
    </w:rPr>
  </w:style>
  <w:style w:type="paragraph" w:styleId="a9">
    <w:name w:val="No Spacing"/>
    <w:uiPriority w:val="1"/>
    <w:qFormat/>
    <w:rsid w:val="00A202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7545-DF6E-4CA0-BE3C-2ECCA3FD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282</Words>
  <Characters>1612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Lenovo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中国法学青年论坛</dc:title>
  <dc:creator>cqx</dc:creator>
  <cp:lastModifiedBy>cqx</cp:lastModifiedBy>
  <cp:revision>20</cp:revision>
  <cp:lastPrinted>2015-04-20T03:43:00Z</cp:lastPrinted>
  <dcterms:created xsi:type="dcterms:W3CDTF">2015-03-23T01:44:00Z</dcterms:created>
  <dcterms:modified xsi:type="dcterms:W3CDTF">2015-04-20T06:21:00Z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2052-8.1.0.3002</vt:lpwstr>
  </property>
</Properties>
</file>