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E97" w:rsidRPr="00D87E97" w:rsidRDefault="00D87E97" w:rsidP="00D87E97">
      <w:pPr>
        <w:jc w:val="center"/>
        <w:rPr>
          <w:rFonts w:ascii="华文中宋" w:eastAsia="华文中宋" w:hAnsi="华文中宋"/>
          <w:sz w:val="44"/>
          <w:szCs w:val="44"/>
        </w:rPr>
      </w:pPr>
      <w:r w:rsidRPr="00D87E97">
        <w:rPr>
          <w:rFonts w:ascii="华文中宋" w:eastAsia="华文中宋" w:hAnsi="华文中宋" w:hint="eastAsia"/>
          <w:sz w:val="44"/>
          <w:szCs w:val="44"/>
        </w:rPr>
        <w:t>中国法学会后期资助自选课题名单</w:t>
      </w:r>
    </w:p>
    <w:p w:rsidR="00A312E2" w:rsidRPr="00D87E97" w:rsidRDefault="00D87E97" w:rsidP="00D87E97">
      <w:pPr>
        <w:jc w:val="center"/>
        <w:rPr>
          <w:sz w:val="32"/>
          <w:szCs w:val="32"/>
        </w:rPr>
      </w:pPr>
      <w:r>
        <w:rPr>
          <w:rFonts w:hint="eastAsia"/>
          <w:sz w:val="32"/>
          <w:szCs w:val="32"/>
        </w:rPr>
        <w:t>（</w:t>
      </w:r>
      <w:r w:rsidRPr="00D87E97">
        <w:rPr>
          <w:rFonts w:hint="eastAsia"/>
          <w:sz w:val="32"/>
          <w:szCs w:val="32"/>
        </w:rPr>
        <w:t>共</w:t>
      </w:r>
      <w:r w:rsidRPr="00D87E97">
        <w:rPr>
          <w:rFonts w:hint="eastAsia"/>
          <w:sz w:val="32"/>
          <w:szCs w:val="32"/>
        </w:rPr>
        <w:t>11</w:t>
      </w:r>
      <w:r w:rsidRPr="00D87E97">
        <w:rPr>
          <w:rFonts w:hint="eastAsia"/>
          <w:sz w:val="32"/>
          <w:szCs w:val="32"/>
        </w:rPr>
        <w:t>项</w:t>
      </w:r>
      <w:r>
        <w:rPr>
          <w:rFonts w:hint="eastAsia"/>
          <w:sz w:val="32"/>
          <w:szCs w:val="32"/>
        </w:rPr>
        <w:t>）</w:t>
      </w:r>
    </w:p>
    <w:p w:rsidR="00D87E97" w:rsidRDefault="00D87E97" w:rsidP="00D87E97"/>
    <w:tbl>
      <w:tblPr>
        <w:tblW w:w="1020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3543"/>
        <w:gridCol w:w="1276"/>
        <w:gridCol w:w="3119"/>
      </w:tblGrid>
      <w:tr w:rsidR="00D87E97" w:rsidRPr="00D87E97" w:rsidTr="004703AC">
        <w:trPr>
          <w:trHeight w:val="519"/>
        </w:trPr>
        <w:tc>
          <w:tcPr>
            <w:tcW w:w="2269" w:type="dxa"/>
            <w:vAlign w:val="center"/>
          </w:tcPr>
          <w:p w:rsidR="00D87E97" w:rsidRPr="00D87E97" w:rsidRDefault="00D87E97" w:rsidP="00D87E97">
            <w:pPr>
              <w:jc w:val="center"/>
              <w:rPr>
                <w:rFonts w:asciiTheme="minorEastAsia" w:hAnsiTheme="minorEastAsia" w:cs="宋体"/>
                <w:b/>
                <w:bCs/>
                <w:sz w:val="30"/>
                <w:szCs w:val="30"/>
              </w:rPr>
            </w:pPr>
            <w:r w:rsidRPr="00D87E97">
              <w:rPr>
                <w:rFonts w:asciiTheme="minorEastAsia" w:hAnsiTheme="minorEastAsia" w:cs="宋体" w:hint="eastAsia"/>
                <w:b/>
                <w:bCs/>
                <w:sz w:val="30"/>
                <w:szCs w:val="30"/>
              </w:rPr>
              <w:t>课题编号</w:t>
            </w:r>
          </w:p>
        </w:tc>
        <w:tc>
          <w:tcPr>
            <w:tcW w:w="3543" w:type="dxa"/>
            <w:vAlign w:val="center"/>
          </w:tcPr>
          <w:p w:rsidR="00D87E97" w:rsidRPr="00D87E97" w:rsidRDefault="00D87E97" w:rsidP="00D87E97">
            <w:pPr>
              <w:jc w:val="center"/>
              <w:rPr>
                <w:rFonts w:asciiTheme="minorEastAsia" w:hAnsiTheme="minorEastAsia" w:cs="宋体"/>
                <w:b/>
                <w:bCs/>
                <w:sz w:val="30"/>
                <w:szCs w:val="30"/>
              </w:rPr>
            </w:pPr>
            <w:r w:rsidRPr="00D87E97">
              <w:rPr>
                <w:rFonts w:asciiTheme="minorEastAsia" w:hAnsiTheme="minorEastAsia" w:cs="宋体" w:hint="eastAsia"/>
                <w:b/>
                <w:bCs/>
                <w:sz w:val="30"/>
                <w:szCs w:val="30"/>
              </w:rPr>
              <w:t>课题名称</w:t>
            </w:r>
          </w:p>
        </w:tc>
        <w:tc>
          <w:tcPr>
            <w:tcW w:w="1276" w:type="dxa"/>
            <w:vAlign w:val="center"/>
          </w:tcPr>
          <w:p w:rsidR="00D87E97" w:rsidRPr="00D87E97" w:rsidRDefault="00D87E97" w:rsidP="00D87E97">
            <w:pPr>
              <w:jc w:val="center"/>
              <w:rPr>
                <w:rFonts w:asciiTheme="minorEastAsia" w:hAnsiTheme="minorEastAsia" w:cs="宋体"/>
                <w:b/>
                <w:bCs/>
                <w:sz w:val="30"/>
                <w:szCs w:val="30"/>
              </w:rPr>
            </w:pPr>
            <w:r w:rsidRPr="00D87E97">
              <w:rPr>
                <w:rFonts w:asciiTheme="minorEastAsia" w:hAnsiTheme="minorEastAsia" w:cs="宋体" w:hint="eastAsia"/>
                <w:b/>
                <w:bCs/>
                <w:sz w:val="30"/>
                <w:szCs w:val="30"/>
              </w:rPr>
              <w:t>主持人</w:t>
            </w:r>
          </w:p>
        </w:tc>
        <w:tc>
          <w:tcPr>
            <w:tcW w:w="3119" w:type="dxa"/>
            <w:vAlign w:val="center"/>
          </w:tcPr>
          <w:p w:rsidR="00D87E97" w:rsidRPr="00D87E97" w:rsidRDefault="00D87E97" w:rsidP="00D87E97">
            <w:pPr>
              <w:jc w:val="center"/>
              <w:rPr>
                <w:rFonts w:asciiTheme="minorEastAsia" w:hAnsiTheme="minorEastAsia" w:cs="宋体"/>
                <w:b/>
                <w:bCs/>
                <w:sz w:val="30"/>
                <w:szCs w:val="30"/>
              </w:rPr>
            </w:pPr>
            <w:r w:rsidRPr="00D87E97">
              <w:rPr>
                <w:rFonts w:asciiTheme="minorEastAsia" w:hAnsiTheme="minorEastAsia" w:cs="宋体" w:hint="eastAsia"/>
                <w:b/>
                <w:bCs/>
                <w:sz w:val="30"/>
                <w:szCs w:val="30"/>
              </w:rPr>
              <w:t>所在单位及职务、职称</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t>CLS(2013)D111</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法律解释体制重构研究</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hint="eastAsia"/>
                <w:sz w:val="30"/>
                <w:szCs w:val="30"/>
              </w:rPr>
              <w:t>张立刚</w:t>
            </w:r>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山东警察学院讲师</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t>CLS(2013)D130</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农村土地股权制改革：现实表达与法律应对</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hint="eastAsia"/>
                <w:sz w:val="30"/>
                <w:szCs w:val="30"/>
              </w:rPr>
              <w:t>刘云生</w:t>
            </w:r>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西南政法</w:t>
            </w:r>
            <w:proofErr w:type="gramStart"/>
            <w:r w:rsidRPr="00D87E97">
              <w:rPr>
                <w:rFonts w:asciiTheme="minorEastAsia" w:hAnsiTheme="minorEastAsia" w:cs="Calibri" w:hint="eastAsia"/>
                <w:sz w:val="30"/>
                <w:szCs w:val="30"/>
              </w:rPr>
              <w:t>大学民</w:t>
            </w:r>
            <w:proofErr w:type="gramEnd"/>
            <w:r w:rsidRPr="00D87E97">
              <w:rPr>
                <w:rFonts w:asciiTheme="minorEastAsia" w:hAnsiTheme="minorEastAsia" w:cs="Calibri" w:hint="eastAsia"/>
                <w:sz w:val="30"/>
                <w:szCs w:val="30"/>
              </w:rPr>
              <w:t>商法学院教授</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t>CLS(2013)D134</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中美上市公司并购法律规制比较研究</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hint="eastAsia"/>
                <w:sz w:val="30"/>
                <w:szCs w:val="30"/>
              </w:rPr>
              <w:t>李文莉</w:t>
            </w:r>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上海对外经贸大学副教授</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t>CLS(2013)D153</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数字产业中的版权保护制度选择</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hint="eastAsia"/>
                <w:sz w:val="30"/>
                <w:szCs w:val="30"/>
              </w:rPr>
              <w:t>刘</w:t>
            </w:r>
            <w:r w:rsidR="0093314A">
              <w:rPr>
                <w:rFonts w:asciiTheme="minorEastAsia" w:hAnsiTheme="minorEastAsia" w:cs="Calibri" w:hint="eastAsia"/>
                <w:sz w:val="30"/>
                <w:szCs w:val="30"/>
              </w:rPr>
              <w:t xml:space="preserve">　</w:t>
            </w:r>
            <w:r w:rsidRPr="00D87E97">
              <w:rPr>
                <w:rFonts w:asciiTheme="minorEastAsia" w:hAnsiTheme="minorEastAsia" w:cs="Calibri" w:hint="eastAsia"/>
                <w:sz w:val="30"/>
                <w:szCs w:val="30"/>
              </w:rPr>
              <w:t>洁</w:t>
            </w:r>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北京物资学院讲师</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t>CLS</w:t>
            </w:r>
            <w:r w:rsidRPr="00D87E97">
              <w:rPr>
                <w:rFonts w:asciiTheme="minorEastAsia" w:hAnsiTheme="minorEastAsia" w:cs="Calibri" w:hint="eastAsia"/>
                <w:sz w:val="30"/>
                <w:szCs w:val="30"/>
              </w:rPr>
              <w:t>（</w:t>
            </w:r>
            <w:r w:rsidRPr="00D87E97">
              <w:rPr>
                <w:rFonts w:asciiTheme="minorEastAsia" w:hAnsiTheme="minorEastAsia" w:cs="Calibri"/>
                <w:sz w:val="30"/>
                <w:szCs w:val="30"/>
              </w:rPr>
              <w:t>2013</w:t>
            </w:r>
            <w:r w:rsidRPr="00D87E97">
              <w:rPr>
                <w:rFonts w:asciiTheme="minorEastAsia" w:hAnsiTheme="minorEastAsia" w:cs="Calibri" w:hint="eastAsia"/>
                <w:sz w:val="30"/>
                <w:szCs w:val="30"/>
              </w:rPr>
              <w:t>）</w:t>
            </w:r>
            <w:r w:rsidRPr="00D87E97">
              <w:rPr>
                <w:rFonts w:asciiTheme="minorEastAsia" w:hAnsiTheme="minorEastAsia" w:cs="Calibri"/>
                <w:sz w:val="30"/>
                <w:szCs w:val="30"/>
              </w:rPr>
              <w:t>D162</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商事信托监管视野下的信托法修改与完善</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proofErr w:type="gramStart"/>
            <w:r w:rsidRPr="00D87E97">
              <w:rPr>
                <w:rFonts w:asciiTheme="minorEastAsia" w:hAnsiTheme="minorEastAsia" w:cs="Calibri" w:hint="eastAsia"/>
                <w:sz w:val="30"/>
                <w:szCs w:val="30"/>
              </w:rPr>
              <w:t>于朝印</w:t>
            </w:r>
            <w:proofErr w:type="gramEnd"/>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山东财经大学法学院副教授</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t>CLS(2013)D198</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检察机关客观义务作用机制的实证研究</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hint="eastAsia"/>
                <w:sz w:val="30"/>
                <w:szCs w:val="30"/>
              </w:rPr>
              <w:t>程</w:t>
            </w:r>
            <w:r w:rsidR="0093314A">
              <w:rPr>
                <w:rFonts w:asciiTheme="minorEastAsia" w:hAnsiTheme="minorEastAsia" w:cs="Calibri" w:hint="eastAsia"/>
                <w:sz w:val="30"/>
                <w:szCs w:val="30"/>
              </w:rPr>
              <w:t xml:space="preserve">　</w:t>
            </w:r>
            <w:r w:rsidRPr="00D87E97">
              <w:rPr>
                <w:rFonts w:asciiTheme="minorEastAsia" w:hAnsiTheme="minorEastAsia" w:cs="Calibri" w:hint="eastAsia"/>
                <w:sz w:val="30"/>
                <w:szCs w:val="30"/>
              </w:rPr>
              <w:t>捷</w:t>
            </w:r>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中国青年政治学院讲师</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t>CLS(2013)D206</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民事诉讼中第三人利益保护体系研究</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hint="eastAsia"/>
                <w:sz w:val="30"/>
                <w:szCs w:val="30"/>
              </w:rPr>
              <w:t>崔玲玲</w:t>
            </w:r>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西北大学法学院讲师</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t>CLS(2013)D208</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民事判决理由可接受性研究</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proofErr w:type="gramStart"/>
            <w:r w:rsidRPr="00D87E97">
              <w:rPr>
                <w:rFonts w:asciiTheme="minorEastAsia" w:hAnsiTheme="minorEastAsia" w:cs="Calibri" w:hint="eastAsia"/>
                <w:sz w:val="30"/>
                <w:szCs w:val="30"/>
              </w:rPr>
              <w:t>王合静</w:t>
            </w:r>
            <w:proofErr w:type="gramEnd"/>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河南财经政法大学副教授</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t>CLS(2013)D210</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我国劳动者职业健康法律保护的困境突破</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hint="eastAsia"/>
                <w:sz w:val="30"/>
                <w:szCs w:val="30"/>
              </w:rPr>
              <w:t>谭金可</w:t>
            </w:r>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华东政法大学助理研究员</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t>CLS(2013)D229</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sz w:val="30"/>
                <w:szCs w:val="30"/>
              </w:rPr>
              <w:t>WTO</w:t>
            </w:r>
            <w:r w:rsidRPr="00D87E97">
              <w:rPr>
                <w:rFonts w:asciiTheme="minorEastAsia" w:hAnsiTheme="minorEastAsia" w:cs="Calibri" w:hint="eastAsia"/>
                <w:sz w:val="30"/>
                <w:szCs w:val="30"/>
              </w:rPr>
              <w:t>《</w:t>
            </w:r>
            <w:r w:rsidRPr="00D87E97">
              <w:rPr>
                <w:rFonts w:asciiTheme="minorEastAsia" w:hAnsiTheme="minorEastAsia" w:cs="Calibri"/>
                <w:sz w:val="30"/>
                <w:szCs w:val="30"/>
              </w:rPr>
              <w:t>SPS</w:t>
            </w:r>
            <w:r w:rsidRPr="00D87E97">
              <w:rPr>
                <w:rFonts w:asciiTheme="minorEastAsia" w:hAnsiTheme="minorEastAsia" w:cs="Calibri" w:hint="eastAsia"/>
                <w:sz w:val="30"/>
                <w:szCs w:val="30"/>
              </w:rPr>
              <w:t>协定》与我国农</w:t>
            </w:r>
            <w:r w:rsidRPr="00D87E97">
              <w:rPr>
                <w:rFonts w:asciiTheme="minorEastAsia" w:hAnsiTheme="minorEastAsia" w:cs="Calibri" w:hint="eastAsia"/>
                <w:sz w:val="30"/>
                <w:szCs w:val="30"/>
              </w:rPr>
              <w:lastRenderedPageBreak/>
              <w:t>产品出口应对</w:t>
            </w:r>
            <w:r w:rsidRPr="00D87E97">
              <w:rPr>
                <w:rFonts w:asciiTheme="minorEastAsia" w:hAnsiTheme="minorEastAsia" w:cs="Calibri"/>
                <w:sz w:val="30"/>
                <w:szCs w:val="30"/>
              </w:rPr>
              <w:t>SPS</w:t>
            </w:r>
            <w:r w:rsidRPr="00D87E97">
              <w:rPr>
                <w:rFonts w:asciiTheme="minorEastAsia" w:hAnsiTheme="minorEastAsia" w:cs="Calibri" w:hint="eastAsia"/>
                <w:sz w:val="30"/>
                <w:szCs w:val="30"/>
              </w:rPr>
              <w:t>措施对策研究</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hint="eastAsia"/>
                <w:sz w:val="30"/>
                <w:szCs w:val="30"/>
              </w:rPr>
              <w:lastRenderedPageBreak/>
              <w:t>师</w:t>
            </w:r>
            <w:r w:rsidR="0093314A">
              <w:rPr>
                <w:rFonts w:asciiTheme="minorEastAsia" w:hAnsiTheme="minorEastAsia" w:cs="Calibri" w:hint="eastAsia"/>
                <w:sz w:val="30"/>
                <w:szCs w:val="30"/>
              </w:rPr>
              <w:t xml:space="preserve">　</w:t>
            </w:r>
            <w:bookmarkStart w:id="0" w:name="_GoBack"/>
            <w:bookmarkEnd w:id="0"/>
            <w:r w:rsidRPr="00D87E97">
              <w:rPr>
                <w:rFonts w:asciiTheme="minorEastAsia" w:hAnsiTheme="minorEastAsia" w:cs="Calibri" w:hint="eastAsia"/>
                <w:sz w:val="30"/>
                <w:szCs w:val="30"/>
              </w:rPr>
              <w:t>华</w:t>
            </w:r>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同济大学法学院教授</w:t>
            </w:r>
          </w:p>
        </w:tc>
      </w:tr>
      <w:tr w:rsidR="00D87E97" w:rsidRPr="00D87E97" w:rsidTr="00470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r w:rsidRPr="00D87E97">
              <w:rPr>
                <w:rFonts w:asciiTheme="minorEastAsia" w:hAnsiTheme="minorEastAsia" w:cs="Calibri"/>
                <w:sz w:val="30"/>
                <w:szCs w:val="30"/>
              </w:rPr>
              <w:lastRenderedPageBreak/>
              <w:t>CLS(2013)D238</w:t>
            </w:r>
          </w:p>
        </w:tc>
        <w:tc>
          <w:tcPr>
            <w:tcW w:w="3543"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碳税立法研究</w:t>
            </w:r>
          </w:p>
        </w:tc>
        <w:tc>
          <w:tcPr>
            <w:tcW w:w="1276"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center"/>
              <w:rPr>
                <w:rFonts w:asciiTheme="minorEastAsia" w:hAnsiTheme="minorEastAsia" w:cs="Calibri"/>
                <w:sz w:val="30"/>
                <w:szCs w:val="30"/>
              </w:rPr>
            </w:pPr>
            <w:proofErr w:type="gramStart"/>
            <w:r w:rsidRPr="00D87E97">
              <w:rPr>
                <w:rFonts w:asciiTheme="minorEastAsia" w:hAnsiTheme="minorEastAsia" w:cs="Calibri" w:hint="eastAsia"/>
                <w:sz w:val="30"/>
                <w:szCs w:val="30"/>
              </w:rPr>
              <w:t>毛涛</w:t>
            </w:r>
            <w:proofErr w:type="gramEnd"/>
          </w:p>
        </w:tc>
        <w:tc>
          <w:tcPr>
            <w:tcW w:w="3119" w:type="dxa"/>
            <w:tcBorders>
              <w:top w:val="single" w:sz="4" w:space="0" w:color="auto"/>
              <w:left w:val="nil"/>
              <w:bottom w:val="single" w:sz="4" w:space="0" w:color="auto"/>
              <w:right w:val="single" w:sz="4" w:space="0" w:color="auto"/>
            </w:tcBorders>
            <w:vAlign w:val="center"/>
          </w:tcPr>
          <w:p w:rsidR="00D87E97" w:rsidRPr="00D87E97" w:rsidRDefault="00D87E97" w:rsidP="00D87E97">
            <w:pPr>
              <w:jc w:val="left"/>
              <w:rPr>
                <w:rFonts w:asciiTheme="minorEastAsia" w:hAnsiTheme="minorEastAsia" w:cs="Calibri"/>
                <w:sz w:val="30"/>
                <w:szCs w:val="30"/>
              </w:rPr>
            </w:pPr>
            <w:r w:rsidRPr="00D87E97">
              <w:rPr>
                <w:rFonts w:asciiTheme="minorEastAsia" w:hAnsiTheme="minorEastAsia" w:cs="Calibri" w:hint="eastAsia"/>
                <w:sz w:val="30"/>
                <w:szCs w:val="30"/>
              </w:rPr>
              <w:t>工业和信息化部国际经济技术合作中心全球能源资源环境研究所副所长、助理研究员</w:t>
            </w:r>
          </w:p>
        </w:tc>
      </w:tr>
    </w:tbl>
    <w:p w:rsidR="00D87E97" w:rsidRPr="00D87E97" w:rsidRDefault="00D87E97" w:rsidP="00D87E97"/>
    <w:sectPr w:rsidR="00D87E97" w:rsidRPr="00D87E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97"/>
    <w:rsid w:val="0093314A"/>
    <w:rsid w:val="00A312E2"/>
    <w:rsid w:val="00D87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Words>
  <Characters>507</Characters>
  <Application>Microsoft Office Word</Application>
  <DocSecurity>0</DocSecurity>
  <Lines>4</Lines>
  <Paragraphs>1</Paragraphs>
  <ScaleCrop>false</ScaleCrop>
  <Company>Lenovo</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2015-02-16T08:27:00Z</dcterms:created>
  <dcterms:modified xsi:type="dcterms:W3CDTF">2015-02-16T08:37:00Z</dcterms:modified>
</cp:coreProperties>
</file>