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37" w:rsidRDefault="00AC6D37" w:rsidP="00BB5650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bookmarkStart w:id="0" w:name="_GoBack"/>
      <w:bookmarkEnd w:id="0"/>
    </w:p>
    <w:p w:rsidR="00BB5650" w:rsidRDefault="00BB5650" w:rsidP="00BB5650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8E24F5">
        <w:rPr>
          <w:rFonts w:ascii="宋体" w:eastAsia="宋体" w:hAnsi="宋体" w:cs="Times New Roman" w:hint="eastAsia"/>
          <w:b/>
          <w:sz w:val="44"/>
          <w:szCs w:val="44"/>
        </w:rPr>
        <w:t>第七届“中部崛起法治论坛”获奖</w:t>
      </w:r>
    </w:p>
    <w:p w:rsidR="00BB5650" w:rsidRPr="008E24F5" w:rsidRDefault="00BB5650" w:rsidP="00BB5650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8E24F5">
        <w:rPr>
          <w:rFonts w:ascii="宋体" w:eastAsia="宋体" w:hAnsi="宋体" w:cs="Times New Roman" w:hint="eastAsia"/>
          <w:b/>
          <w:sz w:val="44"/>
          <w:szCs w:val="44"/>
        </w:rPr>
        <w:t>论文名单</w:t>
      </w:r>
    </w:p>
    <w:p w:rsidR="00BB5650" w:rsidRPr="008E24F5" w:rsidRDefault="00BB5650" w:rsidP="00BB5650">
      <w:pPr>
        <w:jc w:val="center"/>
        <w:rPr>
          <w:rFonts w:ascii="仿宋" w:eastAsia="仿宋" w:hAnsi="仿宋" w:cs="Times New Roman"/>
          <w:b/>
          <w:sz w:val="28"/>
          <w:szCs w:val="28"/>
        </w:rPr>
      </w:pPr>
      <w:r w:rsidRPr="00BF0260">
        <w:rPr>
          <w:rFonts w:ascii="仿宋" w:eastAsia="仿宋" w:hAnsi="仿宋" w:cs="Times New Roman" w:hint="eastAsia"/>
          <w:b/>
          <w:sz w:val="28"/>
          <w:szCs w:val="28"/>
        </w:rPr>
        <w:t>（排名不分先后）</w:t>
      </w:r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1417"/>
        <w:gridCol w:w="4137"/>
      </w:tblGrid>
      <w:tr w:rsidR="00BB5650" w:rsidRPr="00A83D59" w:rsidTr="00022F53">
        <w:trPr>
          <w:trHeight w:hRule="exact" w:val="682"/>
          <w:jc w:val="center"/>
        </w:trPr>
        <w:tc>
          <w:tcPr>
            <w:tcW w:w="10174" w:type="dxa"/>
            <w:gridSpan w:val="3"/>
            <w:vAlign w:val="center"/>
          </w:tcPr>
          <w:p w:rsidR="00BB5650" w:rsidRPr="00A83D59" w:rsidRDefault="00BB5650" w:rsidP="00022F53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A83D59">
              <w:rPr>
                <w:rFonts w:ascii="仿宋" w:eastAsia="仿宋" w:hAnsi="仿宋" w:hint="eastAsia"/>
                <w:b/>
                <w:sz w:val="30"/>
                <w:szCs w:val="30"/>
              </w:rPr>
              <w:t>一等奖（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14</w:t>
            </w:r>
            <w:r w:rsidRPr="00A83D59">
              <w:rPr>
                <w:rFonts w:ascii="仿宋" w:eastAsia="仿宋" w:hAnsi="仿宋" w:hint="eastAsia"/>
                <w:b/>
                <w:sz w:val="30"/>
                <w:szCs w:val="30"/>
              </w:rPr>
              <w:t>篇）</w:t>
            </w:r>
          </w:p>
        </w:tc>
      </w:tr>
      <w:tr w:rsidR="00BB5650" w:rsidRPr="00A83D59" w:rsidTr="00022F53">
        <w:trPr>
          <w:trHeight w:hRule="exact" w:val="1928"/>
          <w:jc w:val="center"/>
        </w:trPr>
        <w:tc>
          <w:tcPr>
            <w:tcW w:w="4620" w:type="dxa"/>
            <w:vAlign w:val="center"/>
          </w:tcPr>
          <w:p w:rsidR="00BB5650" w:rsidRPr="00651932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深化司法体制改革的理念、制度与方法</w:t>
            </w:r>
          </w:p>
        </w:tc>
        <w:tc>
          <w:tcPr>
            <w:tcW w:w="1417" w:type="dxa"/>
            <w:vAlign w:val="center"/>
          </w:tcPr>
          <w:p w:rsidR="00BB5650" w:rsidRPr="00A6613E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6613E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徐汉明</w:t>
            </w:r>
          </w:p>
          <w:p w:rsidR="00BB5650" w:rsidRPr="00A6613E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6613E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林必恒</w:t>
            </w:r>
          </w:p>
          <w:p w:rsidR="00BB5650" w:rsidRPr="00A6613E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6613E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张孜仪</w:t>
            </w:r>
          </w:p>
          <w:p w:rsidR="00BB5650" w:rsidRPr="00A6613E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6613E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徐 晶</w:t>
            </w:r>
          </w:p>
          <w:p w:rsidR="00BB5650" w:rsidRPr="0080731D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137" w:type="dxa"/>
            <w:vAlign w:val="center"/>
          </w:tcPr>
          <w:p w:rsidR="00BB5650" w:rsidRDefault="00BB5650" w:rsidP="00022F53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中南财经政法大学</w:t>
            </w:r>
          </w:p>
          <w:p w:rsidR="00BB5650" w:rsidRDefault="00BB5650" w:rsidP="00022F53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中南财经政法大学</w:t>
            </w:r>
          </w:p>
          <w:p w:rsidR="00BB5650" w:rsidRDefault="00BB5650" w:rsidP="00022F53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中南财经政法大学</w:t>
            </w:r>
          </w:p>
          <w:p w:rsidR="00BB5650" w:rsidRPr="00651932" w:rsidRDefault="00BB5650" w:rsidP="00022F53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6613E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华中科技大学法学院</w:t>
            </w:r>
          </w:p>
        </w:tc>
      </w:tr>
      <w:tr w:rsidR="00BB5650" w:rsidRPr="00A83D59" w:rsidTr="00022F53">
        <w:trPr>
          <w:trHeight w:hRule="exact" w:val="983"/>
          <w:jc w:val="center"/>
        </w:trPr>
        <w:tc>
          <w:tcPr>
            <w:tcW w:w="4620" w:type="dxa"/>
            <w:vAlign w:val="center"/>
          </w:tcPr>
          <w:p w:rsidR="00BB5650" w:rsidRPr="00651932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第四种审判组织观察与思考—国家赔偿委员会运作实证研究</w:t>
            </w:r>
          </w:p>
        </w:tc>
        <w:tc>
          <w:tcPr>
            <w:tcW w:w="1417" w:type="dxa"/>
            <w:vAlign w:val="center"/>
          </w:tcPr>
          <w:p w:rsidR="00BB5650" w:rsidRPr="00651932" w:rsidRDefault="00BB5650" w:rsidP="00022F53">
            <w:pPr>
              <w:snapToGrid w:val="0"/>
              <w:spacing w:line="460" w:lineRule="exact"/>
              <w:ind w:firstLineChars="50" w:firstLine="150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晏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鹏</w:t>
            </w:r>
          </w:p>
        </w:tc>
        <w:tc>
          <w:tcPr>
            <w:tcW w:w="4137" w:type="dxa"/>
            <w:vAlign w:val="center"/>
          </w:tcPr>
          <w:p w:rsidR="00BB5650" w:rsidRPr="00651932" w:rsidRDefault="00BB5650" w:rsidP="00022F53">
            <w:pPr>
              <w:spacing w:line="360" w:lineRule="exact"/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湖南省娄底市中级人民法院</w:t>
            </w:r>
          </w:p>
        </w:tc>
      </w:tr>
      <w:tr w:rsidR="00BB5650" w:rsidRPr="00A83D59" w:rsidTr="00022F53">
        <w:trPr>
          <w:trHeight w:hRule="exact" w:val="1050"/>
          <w:jc w:val="center"/>
        </w:trPr>
        <w:tc>
          <w:tcPr>
            <w:tcW w:w="4620" w:type="dxa"/>
            <w:vAlign w:val="center"/>
          </w:tcPr>
          <w:p w:rsidR="00BB5650" w:rsidRPr="00651932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基于治理范式的司法实质性公开</w:t>
            </w:r>
          </w:p>
        </w:tc>
        <w:tc>
          <w:tcPr>
            <w:tcW w:w="1417" w:type="dxa"/>
            <w:vAlign w:val="center"/>
          </w:tcPr>
          <w:p w:rsidR="00BB5650" w:rsidRPr="00651932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邓海燕</w:t>
            </w:r>
          </w:p>
          <w:p w:rsidR="00BB5650" w:rsidRPr="00651932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戴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乔</w:t>
            </w:r>
          </w:p>
        </w:tc>
        <w:tc>
          <w:tcPr>
            <w:tcW w:w="4137" w:type="dxa"/>
            <w:vAlign w:val="center"/>
          </w:tcPr>
          <w:p w:rsidR="00BB5650" w:rsidRDefault="00BB5650" w:rsidP="00022F53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重庆市北碚区人民法院</w:t>
            </w:r>
          </w:p>
          <w:p w:rsidR="00BB5650" w:rsidRPr="00651932" w:rsidRDefault="00BB5650" w:rsidP="00022F53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重庆市大渡口区人民法院</w:t>
            </w:r>
          </w:p>
        </w:tc>
      </w:tr>
      <w:tr w:rsidR="00BB5650" w:rsidRPr="00A83D59" w:rsidTr="00022F53">
        <w:trPr>
          <w:trHeight w:hRule="exact" w:val="1135"/>
          <w:jc w:val="center"/>
        </w:trPr>
        <w:tc>
          <w:tcPr>
            <w:tcW w:w="4620" w:type="dxa"/>
            <w:vAlign w:val="center"/>
          </w:tcPr>
          <w:p w:rsidR="00BB5650" w:rsidRPr="00651932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碰撞与耦合：审判权运行保障机制中的“民意”考量</w:t>
            </w:r>
          </w:p>
        </w:tc>
        <w:tc>
          <w:tcPr>
            <w:tcW w:w="1417" w:type="dxa"/>
            <w:vAlign w:val="center"/>
          </w:tcPr>
          <w:p w:rsidR="00BB5650" w:rsidRPr="00651932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马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鑫</w:t>
            </w:r>
          </w:p>
          <w:p w:rsidR="00BB5650" w:rsidRPr="00651932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郭奕君</w:t>
            </w:r>
          </w:p>
        </w:tc>
        <w:tc>
          <w:tcPr>
            <w:tcW w:w="4137" w:type="dxa"/>
            <w:vAlign w:val="center"/>
          </w:tcPr>
          <w:p w:rsidR="00BB5650" w:rsidRPr="00651932" w:rsidRDefault="00BB5650" w:rsidP="00022F53">
            <w:pPr>
              <w:spacing w:line="360" w:lineRule="exact"/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湖北省</w:t>
            </w:r>
            <w:r w:rsidRPr="00651932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武汉市江岸区人民法院</w:t>
            </w:r>
          </w:p>
        </w:tc>
      </w:tr>
      <w:tr w:rsidR="00BB5650" w:rsidRPr="00A83D59" w:rsidTr="00022F53">
        <w:trPr>
          <w:trHeight w:hRule="exact" w:val="1260"/>
          <w:jc w:val="center"/>
        </w:trPr>
        <w:tc>
          <w:tcPr>
            <w:tcW w:w="4620" w:type="dxa"/>
            <w:vAlign w:val="center"/>
          </w:tcPr>
          <w:p w:rsidR="00BB5650" w:rsidRPr="00651932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内外兼修：由自信走向公信—以完善司法机制和角色定位为路径促进司法公信</w:t>
            </w:r>
          </w:p>
        </w:tc>
        <w:tc>
          <w:tcPr>
            <w:tcW w:w="1417" w:type="dxa"/>
            <w:vAlign w:val="center"/>
          </w:tcPr>
          <w:p w:rsidR="00BB5650" w:rsidRPr="00651932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王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力</w:t>
            </w:r>
          </w:p>
        </w:tc>
        <w:tc>
          <w:tcPr>
            <w:tcW w:w="4137" w:type="dxa"/>
            <w:vAlign w:val="center"/>
          </w:tcPr>
          <w:p w:rsidR="00BB5650" w:rsidRPr="00651932" w:rsidRDefault="00BB5650" w:rsidP="00022F53">
            <w:pPr>
              <w:spacing w:line="360" w:lineRule="exact"/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湖北省咸宁市中级人民法院</w:t>
            </w:r>
          </w:p>
        </w:tc>
      </w:tr>
      <w:tr w:rsidR="00BB5650" w:rsidRPr="00A83D59" w:rsidTr="00022F53">
        <w:trPr>
          <w:trHeight w:hRule="exact" w:val="1142"/>
          <w:jc w:val="center"/>
        </w:trPr>
        <w:tc>
          <w:tcPr>
            <w:tcW w:w="4620" w:type="dxa"/>
            <w:vAlign w:val="center"/>
          </w:tcPr>
          <w:p w:rsidR="00BB5650" w:rsidRPr="00651932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法院经费省统管模式下如何保障基层法院依法独立行使审判权</w:t>
            </w:r>
          </w:p>
        </w:tc>
        <w:tc>
          <w:tcPr>
            <w:tcW w:w="1417" w:type="dxa"/>
            <w:vAlign w:val="center"/>
          </w:tcPr>
          <w:p w:rsidR="00BB5650" w:rsidRPr="00651932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杨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洁</w:t>
            </w:r>
          </w:p>
          <w:p w:rsidR="00BB5650" w:rsidRPr="00651932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叶晓倩</w:t>
            </w:r>
          </w:p>
        </w:tc>
        <w:tc>
          <w:tcPr>
            <w:tcW w:w="4137" w:type="dxa"/>
            <w:vAlign w:val="center"/>
          </w:tcPr>
          <w:p w:rsidR="00BB5650" w:rsidRPr="00651932" w:rsidRDefault="00BB5650" w:rsidP="00022F53">
            <w:pPr>
              <w:snapToGrid w:val="0"/>
              <w:spacing w:line="460" w:lineRule="exact"/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湖北省武汉市江岸区人民法院</w:t>
            </w:r>
          </w:p>
        </w:tc>
      </w:tr>
      <w:tr w:rsidR="00BB5650" w:rsidRPr="00A83D59" w:rsidTr="00022F53">
        <w:trPr>
          <w:trHeight w:hRule="exact" w:val="1563"/>
          <w:jc w:val="center"/>
        </w:trPr>
        <w:tc>
          <w:tcPr>
            <w:tcW w:w="4620" w:type="dxa"/>
            <w:vAlign w:val="center"/>
          </w:tcPr>
          <w:p w:rsidR="00BB5650" w:rsidRPr="00651932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从公开到说理：新形势下裁判文书说理的完善与思考—对裁判文书中证据认定与“本院认为”的实证分析</w:t>
            </w:r>
          </w:p>
        </w:tc>
        <w:tc>
          <w:tcPr>
            <w:tcW w:w="1417" w:type="dxa"/>
            <w:vAlign w:val="center"/>
          </w:tcPr>
          <w:p w:rsidR="00BB5650" w:rsidRPr="00651932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周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芳</w:t>
            </w:r>
          </w:p>
        </w:tc>
        <w:tc>
          <w:tcPr>
            <w:tcW w:w="4137" w:type="dxa"/>
            <w:vAlign w:val="center"/>
          </w:tcPr>
          <w:p w:rsidR="00BB5650" w:rsidRPr="00651932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湖北省宜都市人民法院</w:t>
            </w:r>
          </w:p>
        </w:tc>
      </w:tr>
      <w:tr w:rsidR="00BB5650" w:rsidRPr="00A83D59" w:rsidTr="00022F53">
        <w:trPr>
          <w:trHeight w:hRule="exact" w:val="1131"/>
          <w:jc w:val="center"/>
        </w:trPr>
        <w:tc>
          <w:tcPr>
            <w:tcW w:w="4620" w:type="dxa"/>
            <w:vAlign w:val="center"/>
          </w:tcPr>
          <w:p w:rsidR="00BB5650" w:rsidRPr="00651932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比较与借鉴：法官职业保障制度的进路补善</w:t>
            </w:r>
          </w:p>
        </w:tc>
        <w:tc>
          <w:tcPr>
            <w:tcW w:w="1417" w:type="dxa"/>
            <w:vAlign w:val="center"/>
          </w:tcPr>
          <w:p w:rsidR="00BB5650" w:rsidRPr="001C7E64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1C7E64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肖  杰</w:t>
            </w:r>
          </w:p>
        </w:tc>
        <w:tc>
          <w:tcPr>
            <w:tcW w:w="4137" w:type="dxa"/>
            <w:vAlign w:val="center"/>
          </w:tcPr>
          <w:p w:rsidR="00BB5650" w:rsidRPr="00651932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湖北省宜昌市夷陵区人民法院</w:t>
            </w:r>
          </w:p>
        </w:tc>
      </w:tr>
      <w:tr w:rsidR="00BB5650" w:rsidRPr="00A83D59" w:rsidTr="00022F53">
        <w:trPr>
          <w:trHeight w:hRule="exact" w:val="1419"/>
          <w:jc w:val="center"/>
        </w:trPr>
        <w:tc>
          <w:tcPr>
            <w:tcW w:w="4620" w:type="dxa"/>
            <w:vAlign w:val="center"/>
          </w:tcPr>
          <w:p w:rsidR="00BB5650" w:rsidRPr="00651932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lastRenderedPageBreak/>
              <w:t>“小司法解释”还能走多远？—试论地方法院案件请示制度的终结</w:t>
            </w:r>
          </w:p>
        </w:tc>
        <w:tc>
          <w:tcPr>
            <w:tcW w:w="1417" w:type="dxa"/>
            <w:vAlign w:val="center"/>
          </w:tcPr>
          <w:p w:rsidR="00BB5650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吴如玉</w:t>
            </w:r>
          </w:p>
          <w:p w:rsidR="00BB5650" w:rsidRPr="00651932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黄金波</w:t>
            </w:r>
          </w:p>
        </w:tc>
        <w:tc>
          <w:tcPr>
            <w:tcW w:w="4137" w:type="dxa"/>
            <w:vAlign w:val="center"/>
          </w:tcPr>
          <w:p w:rsidR="00BB5650" w:rsidRPr="00651932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湖北省宜昌市中级人民法院</w:t>
            </w:r>
          </w:p>
        </w:tc>
      </w:tr>
      <w:tr w:rsidR="00BB5650" w:rsidRPr="00A83D59" w:rsidTr="00022F53">
        <w:trPr>
          <w:trHeight w:hRule="exact" w:val="1286"/>
          <w:jc w:val="center"/>
        </w:trPr>
        <w:tc>
          <w:tcPr>
            <w:tcW w:w="4620" w:type="dxa"/>
            <w:vAlign w:val="center"/>
          </w:tcPr>
          <w:p w:rsidR="00BB5650" w:rsidRPr="00651932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法院人员分类改革的路径探求—兼论珠海、深圳改革模式与制度设计</w:t>
            </w:r>
          </w:p>
        </w:tc>
        <w:tc>
          <w:tcPr>
            <w:tcW w:w="1417" w:type="dxa"/>
            <w:vAlign w:val="center"/>
          </w:tcPr>
          <w:p w:rsidR="00BB5650" w:rsidRPr="00651932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郑和生</w:t>
            </w:r>
          </w:p>
          <w:p w:rsidR="00BB5650" w:rsidRPr="00651932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罗海波</w:t>
            </w:r>
          </w:p>
        </w:tc>
        <w:tc>
          <w:tcPr>
            <w:tcW w:w="4137" w:type="dxa"/>
            <w:vAlign w:val="center"/>
          </w:tcPr>
          <w:p w:rsidR="00BB5650" w:rsidRPr="00651932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湖南省永州市零陵区人民法院</w:t>
            </w:r>
          </w:p>
        </w:tc>
      </w:tr>
      <w:tr w:rsidR="00BB5650" w:rsidRPr="00A83D59" w:rsidTr="00022F53">
        <w:trPr>
          <w:trHeight w:hRule="exact" w:val="1276"/>
          <w:jc w:val="center"/>
        </w:trPr>
        <w:tc>
          <w:tcPr>
            <w:tcW w:w="4620" w:type="dxa"/>
            <w:vAlign w:val="center"/>
          </w:tcPr>
          <w:p w:rsidR="00BB5650" w:rsidRPr="00651932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如何控制裁判—以隐性权力语境下怎样实现“让审理者裁判，由裁判者负责”为视角</w:t>
            </w:r>
          </w:p>
        </w:tc>
        <w:tc>
          <w:tcPr>
            <w:tcW w:w="1417" w:type="dxa"/>
            <w:vAlign w:val="center"/>
          </w:tcPr>
          <w:p w:rsidR="00BB5650" w:rsidRPr="00651932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祝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群</w:t>
            </w:r>
          </w:p>
          <w:p w:rsidR="00BB5650" w:rsidRPr="00651932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李春林</w:t>
            </w:r>
          </w:p>
        </w:tc>
        <w:tc>
          <w:tcPr>
            <w:tcW w:w="4137" w:type="dxa"/>
            <w:vAlign w:val="center"/>
          </w:tcPr>
          <w:p w:rsidR="00BB5650" w:rsidRPr="00651932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湖南省祁阳县人民法院</w:t>
            </w:r>
          </w:p>
        </w:tc>
      </w:tr>
      <w:tr w:rsidR="00BB5650" w:rsidRPr="00A83D59" w:rsidTr="00022F53">
        <w:trPr>
          <w:trHeight w:hRule="exact" w:val="1137"/>
          <w:jc w:val="center"/>
        </w:trPr>
        <w:tc>
          <w:tcPr>
            <w:tcW w:w="4620" w:type="dxa"/>
            <w:vAlign w:val="center"/>
          </w:tcPr>
          <w:p w:rsidR="00BB5650" w:rsidRDefault="00BB5650" w:rsidP="00022F53">
            <w:pPr>
              <w:spacing w:line="3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省以下地方法院、检察院统一管理</w:t>
            </w:r>
          </w:p>
          <w:p w:rsidR="00BB5650" w:rsidRPr="00651932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制度研究</w:t>
            </w:r>
          </w:p>
        </w:tc>
        <w:tc>
          <w:tcPr>
            <w:tcW w:w="1417" w:type="dxa"/>
            <w:vAlign w:val="center"/>
          </w:tcPr>
          <w:p w:rsidR="00BB5650" w:rsidRPr="00651932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谢小剑</w:t>
            </w:r>
          </w:p>
        </w:tc>
        <w:tc>
          <w:tcPr>
            <w:tcW w:w="4137" w:type="dxa"/>
            <w:vAlign w:val="center"/>
          </w:tcPr>
          <w:p w:rsidR="00BB5650" w:rsidRPr="00651932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江西财经大学法学院</w:t>
            </w:r>
          </w:p>
        </w:tc>
      </w:tr>
      <w:tr w:rsidR="00BB5650" w:rsidRPr="00A83D59" w:rsidTr="00022F53">
        <w:trPr>
          <w:trHeight w:hRule="exact" w:val="1269"/>
          <w:jc w:val="center"/>
        </w:trPr>
        <w:tc>
          <w:tcPr>
            <w:tcW w:w="4620" w:type="dxa"/>
            <w:vAlign w:val="center"/>
          </w:tcPr>
          <w:p w:rsidR="00BB5650" w:rsidRPr="00651932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行走在理想与现实之间—合议庭改革对非正式制度依赖与路径选择</w:t>
            </w:r>
          </w:p>
        </w:tc>
        <w:tc>
          <w:tcPr>
            <w:tcW w:w="1417" w:type="dxa"/>
            <w:vAlign w:val="center"/>
          </w:tcPr>
          <w:p w:rsidR="00BB5650" w:rsidRPr="00651932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薛红喜</w:t>
            </w:r>
          </w:p>
          <w:p w:rsidR="00BB5650" w:rsidRPr="00651932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肖新征</w:t>
            </w:r>
          </w:p>
        </w:tc>
        <w:tc>
          <w:tcPr>
            <w:tcW w:w="4137" w:type="dxa"/>
            <w:vAlign w:val="center"/>
          </w:tcPr>
          <w:p w:rsidR="00BB5650" w:rsidRPr="00651932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河南省南阳市中级人民法院</w:t>
            </w:r>
          </w:p>
        </w:tc>
      </w:tr>
      <w:tr w:rsidR="00BB5650" w:rsidRPr="00A83D59" w:rsidTr="00022F53">
        <w:trPr>
          <w:trHeight w:hRule="exact" w:val="1419"/>
          <w:jc w:val="center"/>
        </w:trPr>
        <w:tc>
          <w:tcPr>
            <w:tcW w:w="4620" w:type="dxa"/>
            <w:vAlign w:val="center"/>
          </w:tcPr>
          <w:p w:rsidR="00BB5650" w:rsidRPr="00651932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“常回家看看”案的司法难题与理论求解—基于道德司法化“边界”的探寻展开</w:t>
            </w:r>
          </w:p>
        </w:tc>
        <w:tc>
          <w:tcPr>
            <w:tcW w:w="1417" w:type="dxa"/>
            <w:vAlign w:val="center"/>
          </w:tcPr>
          <w:p w:rsidR="00BB5650" w:rsidRPr="00651932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张菖青</w:t>
            </w:r>
          </w:p>
        </w:tc>
        <w:tc>
          <w:tcPr>
            <w:tcW w:w="4137" w:type="dxa"/>
            <w:vAlign w:val="center"/>
          </w:tcPr>
          <w:p w:rsidR="00BB5650" w:rsidRPr="00651932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5193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湖南省娄底市中级人民法院</w:t>
            </w:r>
          </w:p>
        </w:tc>
      </w:tr>
      <w:tr w:rsidR="00BB5650" w:rsidRPr="00A83D59" w:rsidTr="00022F53">
        <w:trPr>
          <w:trHeight w:hRule="exact" w:val="851"/>
          <w:jc w:val="center"/>
        </w:trPr>
        <w:tc>
          <w:tcPr>
            <w:tcW w:w="10174" w:type="dxa"/>
            <w:gridSpan w:val="3"/>
            <w:vAlign w:val="center"/>
          </w:tcPr>
          <w:p w:rsidR="00BB5650" w:rsidRPr="00A83D59" w:rsidRDefault="00BB5650" w:rsidP="00022F53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A83D59">
              <w:rPr>
                <w:rFonts w:ascii="仿宋" w:eastAsia="仿宋" w:hAnsi="仿宋" w:hint="eastAsia"/>
                <w:b/>
                <w:sz w:val="30"/>
                <w:szCs w:val="30"/>
              </w:rPr>
              <w:t>二等奖（1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7</w:t>
            </w:r>
            <w:r w:rsidRPr="00A83D59">
              <w:rPr>
                <w:rFonts w:ascii="仿宋" w:eastAsia="仿宋" w:hAnsi="仿宋" w:hint="eastAsia"/>
                <w:b/>
                <w:sz w:val="30"/>
                <w:szCs w:val="30"/>
              </w:rPr>
              <w:t>篇）</w:t>
            </w:r>
          </w:p>
        </w:tc>
      </w:tr>
      <w:tr w:rsidR="00BB5650" w:rsidRPr="00A83D59" w:rsidTr="00022F53">
        <w:trPr>
          <w:trHeight w:hRule="exact" w:val="1545"/>
          <w:jc w:val="center"/>
        </w:trPr>
        <w:tc>
          <w:tcPr>
            <w:tcW w:w="4620" w:type="dxa"/>
            <w:vAlign w:val="center"/>
          </w:tcPr>
          <w:p w:rsidR="00BB5650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秩序与进步：我国人民陪审制度存</w:t>
            </w:r>
          </w:p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废之省察—以社会静力学与社会动力学为视角</w:t>
            </w:r>
          </w:p>
        </w:tc>
        <w:tc>
          <w:tcPr>
            <w:tcW w:w="1417" w:type="dxa"/>
            <w:vAlign w:val="center"/>
          </w:tcPr>
          <w:p w:rsidR="00BB5650" w:rsidRPr="00BB395F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蔡科云</w:t>
            </w:r>
          </w:p>
          <w:p w:rsidR="00BB5650" w:rsidRPr="00BB395F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赵晴晴</w:t>
            </w:r>
          </w:p>
          <w:p w:rsidR="00BB5650" w:rsidRPr="00BB395F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孙丽晓</w:t>
            </w:r>
          </w:p>
        </w:tc>
        <w:tc>
          <w:tcPr>
            <w:tcW w:w="4137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湖北大学政法与公共管理学院</w:t>
            </w:r>
          </w:p>
        </w:tc>
      </w:tr>
      <w:tr w:rsidR="00BB5650" w:rsidRPr="00A83D59" w:rsidTr="00022F53">
        <w:trPr>
          <w:trHeight w:hRule="exact" w:val="990"/>
          <w:jc w:val="center"/>
        </w:trPr>
        <w:tc>
          <w:tcPr>
            <w:tcW w:w="4620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互动性审判公开方式研究—从人大代表、政协委员旁听庭审切入</w:t>
            </w:r>
          </w:p>
        </w:tc>
        <w:tc>
          <w:tcPr>
            <w:tcW w:w="1417" w:type="dxa"/>
            <w:vAlign w:val="center"/>
          </w:tcPr>
          <w:p w:rsidR="00BB5650" w:rsidRPr="00BB395F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胡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松</w:t>
            </w:r>
          </w:p>
        </w:tc>
        <w:tc>
          <w:tcPr>
            <w:tcW w:w="4137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湖北省松滋市人民法院</w:t>
            </w:r>
          </w:p>
        </w:tc>
      </w:tr>
      <w:tr w:rsidR="00BB5650" w:rsidRPr="00A83D59" w:rsidTr="00022F53">
        <w:trPr>
          <w:trHeight w:hRule="exact" w:val="1127"/>
          <w:jc w:val="center"/>
        </w:trPr>
        <w:tc>
          <w:tcPr>
            <w:tcW w:w="4620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检察人员分类管理的实证考察</w:t>
            </w:r>
          </w:p>
        </w:tc>
        <w:tc>
          <w:tcPr>
            <w:tcW w:w="1417" w:type="dxa"/>
            <w:vAlign w:val="center"/>
          </w:tcPr>
          <w:p w:rsidR="00BB5650" w:rsidRPr="00BB395F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陈宝富</w:t>
            </w:r>
          </w:p>
          <w:p w:rsidR="00BB5650" w:rsidRPr="00BB395F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陈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鹤</w:t>
            </w:r>
          </w:p>
        </w:tc>
        <w:tc>
          <w:tcPr>
            <w:tcW w:w="4137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上海市浦东新区人民检察院</w:t>
            </w:r>
          </w:p>
        </w:tc>
      </w:tr>
      <w:tr w:rsidR="00BB5650" w:rsidRPr="00A83D59" w:rsidTr="00022F53">
        <w:trPr>
          <w:trHeight w:hRule="exact" w:val="990"/>
          <w:jc w:val="center"/>
        </w:trPr>
        <w:tc>
          <w:tcPr>
            <w:tcW w:w="4620" w:type="dxa"/>
            <w:vAlign w:val="center"/>
          </w:tcPr>
          <w:p w:rsidR="00BB5650" w:rsidRDefault="00BB5650" w:rsidP="00022F53">
            <w:pPr>
              <w:spacing w:line="3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变迁与守正：刑事法官阅卷制度再</w:t>
            </w:r>
          </w:p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改革成效的实证与追问</w:t>
            </w:r>
          </w:p>
        </w:tc>
        <w:tc>
          <w:tcPr>
            <w:tcW w:w="1417" w:type="dxa"/>
            <w:vAlign w:val="center"/>
          </w:tcPr>
          <w:p w:rsidR="00BB5650" w:rsidRPr="00BB395F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李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琛</w:t>
            </w:r>
          </w:p>
        </w:tc>
        <w:tc>
          <w:tcPr>
            <w:tcW w:w="4137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湖南省娄底市中级人民法院</w:t>
            </w:r>
          </w:p>
        </w:tc>
      </w:tr>
      <w:tr w:rsidR="00BB5650" w:rsidRPr="00A83D59" w:rsidTr="00022F53">
        <w:trPr>
          <w:trHeight w:hRule="exact" w:val="1428"/>
          <w:jc w:val="center"/>
        </w:trPr>
        <w:tc>
          <w:tcPr>
            <w:tcW w:w="4620" w:type="dxa"/>
            <w:vAlign w:val="center"/>
          </w:tcPr>
          <w:p w:rsidR="00BB5650" w:rsidRDefault="00BB5650" w:rsidP="00022F53">
            <w:pPr>
              <w:spacing w:line="3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lastRenderedPageBreak/>
              <w:t>我是“谁”：乡土社会中法官角色探源—以2008—2012全国法院部</w:t>
            </w:r>
          </w:p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分模范法官为分析样本</w:t>
            </w:r>
          </w:p>
        </w:tc>
        <w:tc>
          <w:tcPr>
            <w:tcW w:w="1417" w:type="dxa"/>
            <w:vAlign w:val="center"/>
          </w:tcPr>
          <w:p w:rsidR="00BB5650" w:rsidRPr="00BB395F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杜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谦</w:t>
            </w:r>
          </w:p>
        </w:tc>
        <w:tc>
          <w:tcPr>
            <w:tcW w:w="4137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安徽省马鞍山市花山区人民法院</w:t>
            </w:r>
          </w:p>
        </w:tc>
      </w:tr>
      <w:tr w:rsidR="00BB5650" w:rsidRPr="00A83D59" w:rsidTr="00022F53">
        <w:trPr>
          <w:trHeight w:hRule="exact" w:val="1275"/>
          <w:jc w:val="center"/>
        </w:trPr>
        <w:tc>
          <w:tcPr>
            <w:tcW w:w="4620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我国行政诉讼紧急审理程序之建构</w:t>
            </w:r>
          </w:p>
        </w:tc>
        <w:tc>
          <w:tcPr>
            <w:tcW w:w="1417" w:type="dxa"/>
            <w:vAlign w:val="center"/>
          </w:tcPr>
          <w:p w:rsidR="00BB5650" w:rsidRPr="00BB395F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肖新平</w:t>
            </w:r>
          </w:p>
          <w:p w:rsidR="00BB5650" w:rsidRPr="00BB395F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陈家傲</w:t>
            </w:r>
          </w:p>
        </w:tc>
        <w:tc>
          <w:tcPr>
            <w:tcW w:w="4137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湖南省娄底市中级人民法院</w:t>
            </w:r>
          </w:p>
        </w:tc>
      </w:tr>
      <w:tr w:rsidR="00BB5650" w:rsidRPr="00A83D59" w:rsidTr="00022F53">
        <w:trPr>
          <w:trHeight w:hRule="exact" w:val="1281"/>
          <w:jc w:val="center"/>
        </w:trPr>
        <w:tc>
          <w:tcPr>
            <w:tcW w:w="4620" w:type="dxa"/>
            <w:vAlign w:val="center"/>
          </w:tcPr>
          <w:p w:rsidR="00BB5650" w:rsidRPr="00BB395F" w:rsidRDefault="00BB5650" w:rsidP="00022F53">
            <w:pPr>
              <w:spacing w:line="32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司法建议之理据分析—也从行政自由裁量权司法控制的实现路径谈起</w:t>
            </w:r>
          </w:p>
        </w:tc>
        <w:tc>
          <w:tcPr>
            <w:tcW w:w="1417" w:type="dxa"/>
            <w:vAlign w:val="center"/>
          </w:tcPr>
          <w:p w:rsidR="00BB5650" w:rsidRPr="001C7E64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1C7E64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刘  群</w:t>
            </w:r>
          </w:p>
          <w:p w:rsidR="00BB5650" w:rsidRPr="00BB395F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1C7E64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魏浩锋</w:t>
            </w:r>
          </w:p>
        </w:tc>
        <w:tc>
          <w:tcPr>
            <w:tcW w:w="4137" w:type="dxa"/>
            <w:vAlign w:val="center"/>
          </w:tcPr>
          <w:p w:rsidR="00BB5650" w:rsidRDefault="00BB5650" w:rsidP="00022F53">
            <w:pPr>
              <w:snapToGrid w:val="0"/>
              <w:spacing w:line="460" w:lineRule="exact"/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山西省高级人民法院</w:t>
            </w:r>
          </w:p>
          <w:p w:rsidR="00BB5650" w:rsidRPr="00BB395F" w:rsidRDefault="00BB5650" w:rsidP="00022F53">
            <w:pPr>
              <w:snapToGrid w:val="0"/>
              <w:spacing w:line="460" w:lineRule="exact"/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北京市第一中级人民法院</w:t>
            </w:r>
          </w:p>
        </w:tc>
      </w:tr>
      <w:tr w:rsidR="00BB5650" w:rsidRPr="00A83D59" w:rsidTr="00022F53">
        <w:trPr>
          <w:trHeight w:hRule="exact" w:val="2831"/>
          <w:jc w:val="center"/>
        </w:trPr>
        <w:tc>
          <w:tcPr>
            <w:tcW w:w="4620" w:type="dxa"/>
            <w:vAlign w:val="center"/>
          </w:tcPr>
          <w:p w:rsidR="00BB5650" w:rsidRPr="00161ADA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161ADA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办案质量终身负责制研究</w:t>
            </w:r>
          </w:p>
        </w:tc>
        <w:tc>
          <w:tcPr>
            <w:tcW w:w="1417" w:type="dxa"/>
            <w:vAlign w:val="center"/>
          </w:tcPr>
          <w:p w:rsidR="00BB5650" w:rsidRPr="001C7E64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1C7E64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刘冀民</w:t>
            </w:r>
          </w:p>
          <w:p w:rsidR="00BB5650" w:rsidRPr="001C7E64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1C7E64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李瑞荣</w:t>
            </w:r>
          </w:p>
          <w:p w:rsidR="00BB5650" w:rsidRPr="001C7E64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1C7E64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白永旺</w:t>
            </w:r>
          </w:p>
          <w:p w:rsidR="00BB5650" w:rsidRPr="001C7E64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1C7E64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任生林</w:t>
            </w:r>
          </w:p>
          <w:p w:rsidR="00BB5650" w:rsidRPr="001C7E64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1C7E64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李</w:t>
            </w:r>
            <w:r w:rsidRPr="001C7E64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1C7E64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麒</w:t>
            </w:r>
          </w:p>
        </w:tc>
        <w:tc>
          <w:tcPr>
            <w:tcW w:w="4137" w:type="dxa"/>
            <w:vAlign w:val="center"/>
          </w:tcPr>
          <w:p w:rsidR="00BB5650" w:rsidRPr="001C7E64" w:rsidRDefault="00BB5650" w:rsidP="00022F53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1C7E64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山西省高级人民法院</w:t>
            </w:r>
          </w:p>
          <w:p w:rsidR="00BB5650" w:rsidRPr="001C7E64" w:rsidRDefault="00BB5650" w:rsidP="00022F53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1C7E64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山西省高级人民法院</w:t>
            </w:r>
          </w:p>
          <w:p w:rsidR="00BB5650" w:rsidRPr="001C7E64" w:rsidRDefault="00BB5650" w:rsidP="00022F53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1C7E64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山西省高级人民法院</w:t>
            </w:r>
          </w:p>
          <w:p w:rsidR="00BB5650" w:rsidRPr="001C7E64" w:rsidRDefault="00BB5650" w:rsidP="00022F53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1C7E64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山西省高级人民法院</w:t>
            </w:r>
          </w:p>
          <w:p w:rsidR="00BB5650" w:rsidRPr="001C7E64" w:rsidRDefault="00BB5650" w:rsidP="00022F53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1C7E64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山西大学法学院</w:t>
            </w:r>
          </w:p>
        </w:tc>
      </w:tr>
      <w:tr w:rsidR="00BB5650" w:rsidRPr="00A83D59" w:rsidTr="00022F53">
        <w:trPr>
          <w:trHeight w:hRule="exact" w:val="988"/>
          <w:jc w:val="center"/>
        </w:trPr>
        <w:tc>
          <w:tcPr>
            <w:tcW w:w="4620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司法权力运行机制的动力系统研究</w:t>
            </w:r>
          </w:p>
        </w:tc>
        <w:tc>
          <w:tcPr>
            <w:tcW w:w="1417" w:type="dxa"/>
            <w:vAlign w:val="center"/>
          </w:tcPr>
          <w:p w:rsidR="00BB5650" w:rsidRPr="00BB395F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莫良元</w:t>
            </w:r>
          </w:p>
        </w:tc>
        <w:tc>
          <w:tcPr>
            <w:tcW w:w="4137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安徽理工大学人文社会科学学院</w:t>
            </w:r>
          </w:p>
        </w:tc>
      </w:tr>
      <w:tr w:rsidR="00BB5650" w:rsidRPr="00A83D59" w:rsidTr="00022F53">
        <w:trPr>
          <w:trHeight w:hRule="exact" w:val="1114"/>
          <w:jc w:val="center"/>
        </w:trPr>
        <w:tc>
          <w:tcPr>
            <w:tcW w:w="4620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司法与传媒良性互动的破茧之路—以经济分析法为视角</w:t>
            </w:r>
          </w:p>
        </w:tc>
        <w:tc>
          <w:tcPr>
            <w:tcW w:w="1417" w:type="dxa"/>
            <w:vAlign w:val="center"/>
          </w:tcPr>
          <w:p w:rsidR="00BB5650" w:rsidRPr="00BB395F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龚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瑜</w:t>
            </w:r>
          </w:p>
        </w:tc>
        <w:tc>
          <w:tcPr>
            <w:tcW w:w="4137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湖北省宜昌市西陵区人民法院</w:t>
            </w:r>
          </w:p>
        </w:tc>
      </w:tr>
      <w:tr w:rsidR="00BB5650" w:rsidRPr="00A83D59" w:rsidTr="00022F53">
        <w:trPr>
          <w:trHeight w:hRule="exact" w:val="1547"/>
          <w:jc w:val="center"/>
        </w:trPr>
        <w:tc>
          <w:tcPr>
            <w:tcW w:w="4620" w:type="dxa"/>
            <w:vAlign w:val="center"/>
          </w:tcPr>
          <w:p w:rsidR="00BB5650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设立复核法官制度 创建公正司法</w:t>
            </w:r>
          </w:p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环境—以电子档案矫正司法信息不对称</w:t>
            </w:r>
          </w:p>
        </w:tc>
        <w:tc>
          <w:tcPr>
            <w:tcW w:w="1417" w:type="dxa"/>
            <w:vAlign w:val="center"/>
          </w:tcPr>
          <w:p w:rsidR="00BB5650" w:rsidRPr="00BB395F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李晓庆</w:t>
            </w:r>
          </w:p>
          <w:p w:rsidR="00BB5650" w:rsidRPr="00BB395F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李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菁</w:t>
            </w:r>
          </w:p>
          <w:p w:rsidR="00BB5650" w:rsidRPr="00BB395F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黎艳平</w:t>
            </w:r>
          </w:p>
        </w:tc>
        <w:tc>
          <w:tcPr>
            <w:tcW w:w="4137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湖北省孝感市中级人民法院</w:t>
            </w:r>
          </w:p>
        </w:tc>
      </w:tr>
      <w:tr w:rsidR="00BB5650" w:rsidRPr="00A83D59" w:rsidTr="00022F53">
        <w:trPr>
          <w:trHeight w:hRule="exact" w:val="1426"/>
          <w:jc w:val="center"/>
        </w:trPr>
        <w:tc>
          <w:tcPr>
            <w:tcW w:w="4620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司法改革背景下基层法官法律解释能力的提升—以非文义解释方法的运用为实证分析</w:t>
            </w:r>
          </w:p>
        </w:tc>
        <w:tc>
          <w:tcPr>
            <w:tcW w:w="1417" w:type="dxa"/>
            <w:vAlign w:val="center"/>
          </w:tcPr>
          <w:p w:rsidR="00BB5650" w:rsidRPr="00BB395F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杨敬文</w:t>
            </w:r>
          </w:p>
        </w:tc>
        <w:tc>
          <w:tcPr>
            <w:tcW w:w="4137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湖北省</w:t>
            </w:r>
            <w:r w:rsidRPr="00BB395F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武汉市江岸区人民法院</w:t>
            </w:r>
          </w:p>
        </w:tc>
      </w:tr>
      <w:tr w:rsidR="00BB5650" w:rsidRPr="00A83D59" w:rsidTr="00022F53">
        <w:trPr>
          <w:trHeight w:hRule="exact" w:val="1426"/>
          <w:jc w:val="center"/>
        </w:trPr>
        <w:tc>
          <w:tcPr>
            <w:tcW w:w="4620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“愈久”才能“弥香”—从专业化的角度探析基层法官培养</w:t>
            </w:r>
          </w:p>
        </w:tc>
        <w:tc>
          <w:tcPr>
            <w:tcW w:w="1417" w:type="dxa"/>
            <w:vAlign w:val="center"/>
          </w:tcPr>
          <w:p w:rsidR="00BB5650" w:rsidRPr="00BB395F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郑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昉</w:t>
            </w:r>
          </w:p>
        </w:tc>
        <w:tc>
          <w:tcPr>
            <w:tcW w:w="4137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湖北省随县人民法院</w:t>
            </w:r>
          </w:p>
        </w:tc>
      </w:tr>
      <w:tr w:rsidR="00BB5650" w:rsidRPr="00A83D59" w:rsidTr="00022F53">
        <w:trPr>
          <w:trHeight w:hRule="exact" w:val="1426"/>
          <w:jc w:val="center"/>
        </w:trPr>
        <w:tc>
          <w:tcPr>
            <w:tcW w:w="4620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lastRenderedPageBreak/>
              <w:t>类型理论下虚假诉讼的司法应对—基于郴州市两级法院的调查分析</w:t>
            </w:r>
          </w:p>
        </w:tc>
        <w:tc>
          <w:tcPr>
            <w:tcW w:w="1417" w:type="dxa"/>
            <w:vAlign w:val="center"/>
          </w:tcPr>
          <w:p w:rsidR="00BB5650" w:rsidRPr="00BB395F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侯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仁</w:t>
            </w:r>
          </w:p>
        </w:tc>
        <w:tc>
          <w:tcPr>
            <w:tcW w:w="4137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湖南省郴州市永兴县人民法院</w:t>
            </w:r>
          </w:p>
        </w:tc>
      </w:tr>
      <w:tr w:rsidR="00BB5650" w:rsidRPr="00A83D59" w:rsidTr="00022F53">
        <w:trPr>
          <w:trHeight w:hRule="exact" w:val="1426"/>
          <w:jc w:val="center"/>
        </w:trPr>
        <w:tc>
          <w:tcPr>
            <w:tcW w:w="4620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实行法官职务序列单独管理的现实困境与路径选择—基于路径依赖理论分析</w:t>
            </w:r>
          </w:p>
        </w:tc>
        <w:tc>
          <w:tcPr>
            <w:tcW w:w="1417" w:type="dxa"/>
            <w:vAlign w:val="center"/>
          </w:tcPr>
          <w:p w:rsidR="00BB5650" w:rsidRPr="00BB395F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戴陈峰</w:t>
            </w:r>
          </w:p>
          <w:p w:rsidR="00BB5650" w:rsidRPr="00BB395F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陈建华</w:t>
            </w:r>
          </w:p>
        </w:tc>
        <w:tc>
          <w:tcPr>
            <w:tcW w:w="4137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湖南省郴州市中级人民法院</w:t>
            </w:r>
          </w:p>
        </w:tc>
      </w:tr>
      <w:tr w:rsidR="00BB5650" w:rsidRPr="00A83D59" w:rsidTr="00022F53">
        <w:trPr>
          <w:trHeight w:hRule="exact" w:val="1570"/>
          <w:jc w:val="center"/>
        </w:trPr>
        <w:tc>
          <w:tcPr>
            <w:tcW w:w="4620" w:type="dxa"/>
            <w:vAlign w:val="center"/>
          </w:tcPr>
          <w:p w:rsidR="00BB5650" w:rsidRPr="00BB395F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BB395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存在与超越：行政诉讼“相对集中管辖”到“行政法院”的距离有多远？—透视困境中的行政审判体制</w:t>
            </w:r>
          </w:p>
        </w:tc>
        <w:tc>
          <w:tcPr>
            <w:tcW w:w="1417" w:type="dxa"/>
            <w:vAlign w:val="center"/>
          </w:tcPr>
          <w:p w:rsidR="00BB5650" w:rsidRPr="001C7E64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1C7E64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刘  群</w:t>
            </w:r>
          </w:p>
        </w:tc>
        <w:tc>
          <w:tcPr>
            <w:tcW w:w="4137" w:type="dxa"/>
            <w:vAlign w:val="center"/>
          </w:tcPr>
          <w:p w:rsidR="00BB5650" w:rsidRPr="001C7E64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1C7E64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山西省高级人民法院</w:t>
            </w:r>
          </w:p>
        </w:tc>
      </w:tr>
      <w:tr w:rsidR="00BB5650" w:rsidRPr="00A83D59" w:rsidTr="00022F53">
        <w:trPr>
          <w:trHeight w:hRule="exact" w:val="1391"/>
          <w:jc w:val="center"/>
        </w:trPr>
        <w:tc>
          <w:tcPr>
            <w:tcW w:w="4620" w:type="dxa"/>
            <w:vAlign w:val="center"/>
          </w:tcPr>
          <w:p w:rsidR="00BB5650" w:rsidRPr="00080EC4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080EC4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论司法公开在公平正义实现中的作用</w:t>
            </w:r>
          </w:p>
        </w:tc>
        <w:tc>
          <w:tcPr>
            <w:tcW w:w="1417" w:type="dxa"/>
            <w:vAlign w:val="center"/>
          </w:tcPr>
          <w:p w:rsidR="00BB5650" w:rsidRPr="00080EC4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080EC4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石茂生 </w:t>
            </w:r>
          </w:p>
          <w:p w:rsidR="00BB5650" w:rsidRPr="001C7E64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080EC4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邹鹏飞</w:t>
            </w:r>
          </w:p>
        </w:tc>
        <w:tc>
          <w:tcPr>
            <w:tcW w:w="4137" w:type="dxa"/>
            <w:vAlign w:val="center"/>
          </w:tcPr>
          <w:p w:rsidR="00BB5650" w:rsidRPr="001C7E64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080EC4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郑州大学法学院</w:t>
            </w:r>
          </w:p>
        </w:tc>
      </w:tr>
      <w:tr w:rsidR="00BB5650" w:rsidRPr="00A83D59" w:rsidTr="00022F53">
        <w:trPr>
          <w:trHeight w:hRule="exact" w:val="982"/>
          <w:jc w:val="center"/>
        </w:trPr>
        <w:tc>
          <w:tcPr>
            <w:tcW w:w="10174" w:type="dxa"/>
            <w:gridSpan w:val="3"/>
            <w:vAlign w:val="center"/>
          </w:tcPr>
          <w:p w:rsidR="00BB5650" w:rsidRPr="003667E2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83D59">
              <w:rPr>
                <w:rFonts w:ascii="仿宋" w:eastAsia="仿宋" w:hAnsi="仿宋" w:hint="eastAsia"/>
                <w:b/>
                <w:sz w:val="30"/>
                <w:szCs w:val="30"/>
              </w:rPr>
              <w:t>三等奖（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25</w:t>
            </w:r>
            <w:r w:rsidRPr="00A83D59">
              <w:rPr>
                <w:rFonts w:ascii="仿宋" w:eastAsia="仿宋" w:hAnsi="仿宋" w:hint="eastAsia"/>
                <w:b/>
                <w:sz w:val="30"/>
                <w:szCs w:val="30"/>
              </w:rPr>
              <w:t>篇）</w:t>
            </w:r>
          </w:p>
        </w:tc>
      </w:tr>
      <w:tr w:rsidR="00BB5650" w:rsidRPr="00A83D59" w:rsidTr="00022F53">
        <w:trPr>
          <w:trHeight w:hRule="exact" w:val="1426"/>
          <w:jc w:val="center"/>
        </w:trPr>
        <w:tc>
          <w:tcPr>
            <w:tcW w:w="4620" w:type="dxa"/>
            <w:vAlign w:val="center"/>
          </w:tcPr>
          <w:p w:rsidR="00BB5650" w:rsidRDefault="00BB5650" w:rsidP="00022F53">
            <w:pPr>
              <w:spacing w:line="3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权利平衡与漏洞填补：第三人撤销之诉程序构建—兼评析新修订《民</w:t>
            </w:r>
          </w:p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事诉讼法》第56条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熊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飞</w:t>
            </w:r>
          </w:p>
        </w:tc>
        <w:tc>
          <w:tcPr>
            <w:tcW w:w="4137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湖北省丹江口市人民法院</w:t>
            </w:r>
          </w:p>
        </w:tc>
      </w:tr>
      <w:tr w:rsidR="00BB5650" w:rsidRPr="00A83D59" w:rsidTr="00022F53">
        <w:trPr>
          <w:trHeight w:hRule="exact" w:val="1426"/>
          <w:jc w:val="center"/>
        </w:trPr>
        <w:tc>
          <w:tcPr>
            <w:tcW w:w="4620" w:type="dxa"/>
            <w:vAlign w:val="center"/>
          </w:tcPr>
          <w:p w:rsidR="00BB5650" w:rsidRDefault="00BB5650" w:rsidP="00022F53">
            <w:pPr>
              <w:spacing w:line="3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评价与反思：中国审判权监督制度</w:t>
            </w:r>
          </w:p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省察与展望—以基层人民法院审判权内部监督为视角</w:t>
            </w:r>
          </w:p>
        </w:tc>
        <w:tc>
          <w:tcPr>
            <w:tcW w:w="1417" w:type="dxa"/>
            <w:vAlign w:val="center"/>
          </w:tcPr>
          <w:p w:rsidR="00BB5650" w:rsidRPr="001C7E64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1C7E64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肖  杰</w:t>
            </w:r>
          </w:p>
        </w:tc>
        <w:tc>
          <w:tcPr>
            <w:tcW w:w="4137" w:type="dxa"/>
            <w:vAlign w:val="center"/>
          </w:tcPr>
          <w:p w:rsidR="00BB5650" w:rsidRPr="004B098B" w:rsidRDefault="00BB5650" w:rsidP="00022F53">
            <w:pPr>
              <w:spacing w:line="3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湖北省宜昌市夷陵区人民法院</w:t>
            </w:r>
          </w:p>
        </w:tc>
      </w:tr>
      <w:tr w:rsidR="00BB5650" w:rsidRPr="00A83D59" w:rsidTr="00022F53">
        <w:trPr>
          <w:trHeight w:hRule="exact" w:val="1426"/>
          <w:jc w:val="center"/>
        </w:trPr>
        <w:tc>
          <w:tcPr>
            <w:tcW w:w="4620" w:type="dxa"/>
            <w:vAlign w:val="center"/>
          </w:tcPr>
          <w:p w:rsidR="00BB5650" w:rsidRDefault="00BB5650" w:rsidP="00022F53">
            <w:pPr>
              <w:spacing w:line="3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解构与应对：少年司法工作中如何</w:t>
            </w:r>
          </w:p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有效引导罪错少年—以心理相容原理为理论基础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欧阳韶勇</w:t>
            </w:r>
          </w:p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陈毅清</w:t>
            </w:r>
          </w:p>
        </w:tc>
        <w:tc>
          <w:tcPr>
            <w:tcW w:w="4137" w:type="dxa"/>
            <w:vAlign w:val="center"/>
          </w:tcPr>
          <w:p w:rsidR="00BB5650" w:rsidRPr="004B098B" w:rsidRDefault="00BB5650" w:rsidP="00022F53">
            <w:pPr>
              <w:spacing w:line="3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湖南省永州市新田县人民法院</w:t>
            </w:r>
          </w:p>
        </w:tc>
      </w:tr>
      <w:tr w:rsidR="00BB5650" w:rsidRPr="00A83D59" w:rsidTr="00022F53">
        <w:trPr>
          <w:trHeight w:hRule="exact" w:val="980"/>
          <w:jc w:val="center"/>
        </w:trPr>
        <w:tc>
          <w:tcPr>
            <w:tcW w:w="4620" w:type="dxa"/>
            <w:vAlign w:val="center"/>
          </w:tcPr>
          <w:p w:rsidR="00BB5650" w:rsidRDefault="00BB5650" w:rsidP="00022F53">
            <w:pPr>
              <w:spacing w:line="3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还权于审理者：法官办案负责制的</w:t>
            </w:r>
          </w:p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理想图景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冉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超</w:t>
            </w:r>
          </w:p>
        </w:tc>
        <w:tc>
          <w:tcPr>
            <w:tcW w:w="4137" w:type="dxa"/>
            <w:vAlign w:val="center"/>
          </w:tcPr>
          <w:p w:rsidR="00BB5650" w:rsidRPr="004B098B" w:rsidRDefault="00BB5650" w:rsidP="00022F53">
            <w:pPr>
              <w:spacing w:line="3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湖北省武汉市洪山区人民法院</w:t>
            </w:r>
          </w:p>
        </w:tc>
      </w:tr>
      <w:tr w:rsidR="00BB5650" w:rsidRPr="00A83D59" w:rsidTr="00022F53">
        <w:trPr>
          <w:trHeight w:hRule="exact" w:val="1131"/>
          <w:jc w:val="center"/>
        </w:trPr>
        <w:tc>
          <w:tcPr>
            <w:tcW w:w="4620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自媒体时代审判公开的回应与适应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郭奕君</w:t>
            </w:r>
          </w:p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马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鑫</w:t>
            </w:r>
          </w:p>
        </w:tc>
        <w:tc>
          <w:tcPr>
            <w:tcW w:w="4137" w:type="dxa"/>
            <w:vAlign w:val="center"/>
          </w:tcPr>
          <w:p w:rsidR="00BB5650" w:rsidRPr="004B098B" w:rsidRDefault="00BB5650" w:rsidP="00022F53">
            <w:pPr>
              <w:spacing w:line="3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湖北省武汉市江岸区人民法院</w:t>
            </w:r>
          </w:p>
        </w:tc>
      </w:tr>
      <w:tr w:rsidR="00BB5650" w:rsidRPr="00A83D59" w:rsidTr="00022F53">
        <w:trPr>
          <w:trHeight w:hRule="exact" w:val="1261"/>
          <w:jc w:val="center"/>
        </w:trPr>
        <w:tc>
          <w:tcPr>
            <w:tcW w:w="4620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lastRenderedPageBreak/>
              <w:t>民意导入的历史谱系学解读—以刑事量刑请求书的采纳为切入点</w:t>
            </w:r>
          </w:p>
        </w:tc>
        <w:tc>
          <w:tcPr>
            <w:tcW w:w="1417" w:type="dxa"/>
            <w:vAlign w:val="center"/>
          </w:tcPr>
          <w:p w:rsidR="00BB5650" w:rsidRPr="00896369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23FD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刘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323FD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腾</w:t>
            </w:r>
          </w:p>
        </w:tc>
        <w:tc>
          <w:tcPr>
            <w:tcW w:w="4137" w:type="dxa"/>
            <w:vAlign w:val="center"/>
          </w:tcPr>
          <w:p w:rsidR="00BB5650" w:rsidRPr="008844F7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23FD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湖南省汝城县人民法院</w:t>
            </w:r>
          </w:p>
        </w:tc>
      </w:tr>
      <w:tr w:rsidR="00BB5650" w:rsidRPr="00A83D59" w:rsidTr="00022F53">
        <w:trPr>
          <w:trHeight w:hRule="exact" w:val="1279"/>
          <w:jc w:val="center"/>
        </w:trPr>
        <w:tc>
          <w:tcPr>
            <w:tcW w:w="4620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省以下司法机关统管后市县人大监督司法的职能定位、模式转型与制度调适</w:t>
            </w:r>
            <w:r w:rsidRPr="004B098B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 xml:space="preserve">                           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吴卫东</w:t>
            </w:r>
          </w:p>
        </w:tc>
        <w:tc>
          <w:tcPr>
            <w:tcW w:w="4137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湖北省荆门市委党校</w:t>
            </w:r>
          </w:p>
        </w:tc>
      </w:tr>
      <w:tr w:rsidR="00BB5650" w:rsidRPr="00A83D59" w:rsidTr="00022F53">
        <w:trPr>
          <w:trHeight w:hRule="exact" w:val="986"/>
          <w:jc w:val="center"/>
        </w:trPr>
        <w:tc>
          <w:tcPr>
            <w:tcW w:w="4620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新媒体时代民意与司法的关系—基于刑事审判的探讨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张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娟</w:t>
            </w:r>
          </w:p>
        </w:tc>
        <w:tc>
          <w:tcPr>
            <w:tcW w:w="4137" w:type="dxa"/>
            <w:vAlign w:val="center"/>
          </w:tcPr>
          <w:p w:rsidR="00BB5650" w:rsidRPr="004B098B" w:rsidRDefault="00BB5650" w:rsidP="00022F53">
            <w:pPr>
              <w:spacing w:line="3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湖北省武汉市汉阳区人民法院</w:t>
            </w:r>
          </w:p>
        </w:tc>
      </w:tr>
      <w:tr w:rsidR="00BB5650" w:rsidRPr="00A83D59" w:rsidTr="00022F53">
        <w:trPr>
          <w:trHeight w:hRule="exact" w:val="1411"/>
          <w:jc w:val="center"/>
        </w:trPr>
        <w:tc>
          <w:tcPr>
            <w:tcW w:w="4620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从一起涉法上访案例看法官职业思维方式的继承与超越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黄家波</w:t>
            </w:r>
          </w:p>
        </w:tc>
        <w:tc>
          <w:tcPr>
            <w:tcW w:w="4137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湖北省宜昌市中级人民法院</w:t>
            </w:r>
          </w:p>
        </w:tc>
      </w:tr>
      <w:tr w:rsidR="00BB5650" w:rsidRPr="00A83D59" w:rsidTr="00022F53">
        <w:trPr>
          <w:trHeight w:hRule="exact" w:val="1003"/>
          <w:jc w:val="center"/>
        </w:trPr>
        <w:tc>
          <w:tcPr>
            <w:tcW w:w="4620" w:type="dxa"/>
            <w:vAlign w:val="center"/>
          </w:tcPr>
          <w:p w:rsidR="00BB5650" w:rsidRPr="004B098B" w:rsidRDefault="00BB5650" w:rsidP="00022F53">
            <w:pPr>
              <w:spacing w:line="3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预备法官培训制度若干问题研究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黄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薇</w:t>
            </w:r>
          </w:p>
        </w:tc>
        <w:tc>
          <w:tcPr>
            <w:tcW w:w="4137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湖北省宜昌市三峡坝区人民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法院</w:t>
            </w:r>
          </w:p>
        </w:tc>
      </w:tr>
      <w:tr w:rsidR="00BB5650" w:rsidRPr="00A83D59" w:rsidTr="00022F53">
        <w:trPr>
          <w:trHeight w:hRule="exact" w:val="1444"/>
          <w:jc w:val="center"/>
        </w:trPr>
        <w:tc>
          <w:tcPr>
            <w:tcW w:w="4620" w:type="dxa"/>
            <w:vAlign w:val="center"/>
          </w:tcPr>
          <w:p w:rsidR="00BB5650" w:rsidRPr="004B098B" w:rsidRDefault="00BB5650" w:rsidP="00022F53">
            <w:pPr>
              <w:spacing w:line="3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以“司法公开”治理“孱弱公信”—信息化担纲司法权威的公开化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戴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乔</w:t>
            </w:r>
          </w:p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代温世</w:t>
            </w:r>
          </w:p>
        </w:tc>
        <w:tc>
          <w:tcPr>
            <w:tcW w:w="413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重庆市大渡口区人民法院</w:t>
            </w:r>
          </w:p>
          <w:p w:rsidR="00BB5650" w:rsidRPr="004B098B" w:rsidRDefault="00BB5650" w:rsidP="00022F53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重庆市大足区人民法院</w:t>
            </w:r>
          </w:p>
        </w:tc>
      </w:tr>
      <w:tr w:rsidR="00BB5650" w:rsidRPr="00A83D59" w:rsidTr="00022F53">
        <w:trPr>
          <w:trHeight w:hRule="exact" w:val="1249"/>
          <w:jc w:val="center"/>
        </w:trPr>
        <w:tc>
          <w:tcPr>
            <w:tcW w:w="4620" w:type="dxa"/>
            <w:vAlign w:val="center"/>
          </w:tcPr>
          <w:p w:rsidR="00BB5650" w:rsidRDefault="00BB5650" w:rsidP="00022F53">
            <w:pPr>
              <w:spacing w:line="3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错位与矫正：抗诉必然引起民事再</w:t>
            </w:r>
          </w:p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审程序的悖论与反思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胡清文</w:t>
            </w:r>
          </w:p>
        </w:tc>
        <w:tc>
          <w:tcPr>
            <w:tcW w:w="4137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湖南省安仁县人民法院</w:t>
            </w:r>
          </w:p>
        </w:tc>
      </w:tr>
      <w:tr w:rsidR="00BB5650" w:rsidRPr="00A83D59" w:rsidTr="00022F53">
        <w:trPr>
          <w:trHeight w:hRule="exact" w:val="1135"/>
          <w:jc w:val="center"/>
        </w:trPr>
        <w:tc>
          <w:tcPr>
            <w:tcW w:w="4620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论行政执法和解的风险控制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张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平</w:t>
            </w:r>
          </w:p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王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婷</w:t>
            </w:r>
          </w:p>
        </w:tc>
        <w:tc>
          <w:tcPr>
            <w:tcW w:w="4137" w:type="dxa"/>
            <w:vAlign w:val="center"/>
          </w:tcPr>
          <w:p w:rsidR="00BB5650" w:rsidRDefault="00BB5650" w:rsidP="00022F53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湖南省高级人民法院</w:t>
            </w:r>
          </w:p>
          <w:p w:rsidR="00BB5650" w:rsidRPr="004B098B" w:rsidRDefault="00BB5650" w:rsidP="00022F53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武汉大学法学院</w:t>
            </w:r>
          </w:p>
        </w:tc>
      </w:tr>
      <w:tr w:rsidR="00BB5650" w:rsidRPr="00A83D59" w:rsidTr="00022F53">
        <w:trPr>
          <w:trHeight w:hRule="exact" w:val="1410"/>
          <w:jc w:val="center"/>
        </w:trPr>
        <w:tc>
          <w:tcPr>
            <w:tcW w:w="4620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审判长负责制改革的应然分析及路径完善—以某基层法院审判长负责制改革实践为样本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李卫林</w:t>
            </w:r>
          </w:p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潘长文</w:t>
            </w:r>
          </w:p>
        </w:tc>
        <w:tc>
          <w:tcPr>
            <w:tcW w:w="4137" w:type="dxa"/>
            <w:vAlign w:val="center"/>
          </w:tcPr>
          <w:p w:rsidR="00BB5650" w:rsidRDefault="00BB5650" w:rsidP="00022F53">
            <w:pPr>
              <w:spacing w:line="3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湖南省永州市冷水滩区人民法</w:t>
            </w:r>
          </w:p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院</w:t>
            </w:r>
          </w:p>
        </w:tc>
      </w:tr>
      <w:tr w:rsidR="00BB5650" w:rsidRPr="00A83D59" w:rsidTr="00022F53">
        <w:trPr>
          <w:trHeight w:hRule="exact" w:val="1137"/>
          <w:jc w:val="center"/>
        </w:trPr>
        <w:tc>
          <w:tcPr>
            <w:tcW w:w="4620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论我国检察官办案质量终身负责制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周子良</w:t>
            </w:r>
          </w:p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常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青</w:t>
            </w:r>
          </w:p>
        </w:tc>
        <w:tc>
          <w:tcPr>
            <w:tcW w:w="4137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山西大学法学院</w:t>
            </w:r>
          </w:p>
        </w:tc>
      </w:tr>
      <w:tr w:rsidR="00BB5650" w:rsidRPr="00A83D59" w:rsidTr="00022F53">
        <w:trPr>
          <w:trHeight w:hRule="exact" w:val="854"/>
          <w:jc w:val="center"/>
        </w:trPr>
        <w:tc>
          <w:tcPr>
            <w:tcW w:w="4620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论我国检察权制约机制的完善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李建新</w:t>
            </w:r>
          </w:p>
        </w:tc>
        <w:tc>
          <w:tcPr>
            <w:tcW w:w="4137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河南省三门峡市人民检察院</w:t>
            </w:r>
          </w:p>
        </w:tc>
      </w:tr>
      <w:tr w:rsidR="00BB5650" w:rsidRPr="00A83D59" w:rsidTr="00022F53">
        <w:trPr>
          <w:trHeight w:hRule="exact" w:val="838"/>
          <w:jc w:val="center"/>
        </w:trPr>
        <w:tc>
          <w:tcPr>
            <w:tcW w:w="4620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lastRenderedPageBreak/>
              <w:t>运用法治逻辑推动环境案件审判体制改革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徐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刚</w:t>
            </w:r>
          </w:p>
        </w:tc>
        <w:tc>
          <w:tcPr>
            <w:tcW w:w="4137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江西理工大学文法学院</w:t>
            </w:r>
          </w:p>
        </w:tc>
      </w:tr>
      <w:tr w:rsidR="00BB5650" w:rsidRPr="00A83D59" w:rsidTr="00022F53">
        <w:trPr>
          <w:trHeight w:hRule="exact" w:val="1417"/>
          <w:jc w:val="center"/>
        </w:trPr>
        <w:tc>
          <w:tcPr>
            <w:tcW w:w="4620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论主审法官责任制下法院审委会改革路径研究—基于A省W市Y区人民法院审委会运行的实证分析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肖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迹</w:t>
            </w:r>
          </w:p>
        </w:tc>
        <w:tc>
          <w:tcPr>
            <w:tcW w:w="4137" w:type="dxa"/>
            <w:vAlign w:val="center"/>
          </w:tcPr>
          <w:p w:rsidR="00BB5650" w:rsidRPr="004B098B" w:rsidRDefault="00BB5650" w:rsidP="00022F53">
            <w:pPr>
              <w:spacing w:line="3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安徽省芜湖市弋江区人民法院</w:t>
            </w:r>
          </w:p>
        </w:tc>
      </w:tr>
      <w:tr w:rsidR="00BB5650" w:rsidRPr="00A83D59" w:rsidTr="00022F53">
        <w:trPr>
          <w:trHeight w:hRule="exact" w:val="1125"/>
          <w:jc w:val="center"/>
        </w:trPr>
        <w:tc>
          <w:tcPr>
            <w:tcW w:w="4620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自媒体时代网络舆情与司法公正若干问题研究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杨良厚</w:t>
            </w:r>
          </w:p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施晶晶</w:t>
            </w:r>
          </w:p>
        </w:tc>
        <w:tc>
          <w:tcPr>
            <w:tcW w:w="4137" w:type="dxa"/>
            <w:vAlign w:val="center"/>
          </w:tcPr>
          <w:p w:rsidR="00BB5650" w:rsidRDefault="00BB5650" w:rsidP="00022F53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安徽省安庆市枞阳县人民法院</w:t>
            </w:r>
          </w:p>
          <w:p w:rsidR="00BB5650" w:rsidRPr="004B098B" w:rsidRDefault="00BB5650" w:rsidP="00022F53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贵州大学法学院</w:t>
            </w:r>
          </w:p>
        </w:tc>
      </w:tr>
      <w:tr w:rsidR="00BB5650" w:rsidRPr="00A83D59" w:rsidTr="00022F53">
        <w:trPr>
          <w:trHeight w:hRule="exact" w:val="1003"/>
          <w:jc w:val="center"/>
        </w:trPr>
        <w:tc>
          <w:tcPr>
            <w:tcW w:w="4620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省以下司法机关统管后党委政法委职能的再调整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胡炳林</w:t>
            </w:r>
          </w:p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胡爱武</w:t>
            </w:r>
          </w:p>
        </w:tc>
        <w:tc>
          <w:tcPr>
            <w:tcW w:w="4137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湖北省赤壁市委政法委</w:t>
            </w:r>
          </w:p>
        </w:tc>
      </w:tr>
      <w:tr w:rsidR="00BB5650" w:rsidRPr="00A83D59" w:rsidTr="00022F53">
        <w:trPr>
          <w:trHeight w:hRule="exact" w:val="847"/>
          <w:jc w:val="center"/>
        </w:trPr>
        <w:tc>
          <w:tcPr>
            <w:tcW w:w="4620" w:type="dxa"/>
          </w:tcPr>
          <w:p w:rsidR="00BB5650" w:rsidRPr="004B098B" w:rsidRDefault="00BB5650" w:rsidP="006149CE">
            <w:pPr>
              <w:spacing w:beforeLines="50" w:before="156" w:line="48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论我国法官惩戒制度的重构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张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4B098B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虎</w:t>
            </w:r>
          </w:p>
        </w:tc>
        <w:tc>
          <w:tcPr>
            <w:tcW w:w="4137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山西省高级人民法院</w:t>
            </w:r>
          </w:p>
        </w:tc>
      </w:tr>
      <w:tr w:rsidR="00BB5650" w:rsidRPr="00A83D59" w:rsidTr="00022F53">
        <w:trPr>
          <w:trHeight w:hRule="exact" w:val="1283"/>
          <w:jc w:val="center"/>
        </w:trPr>
        <w:tc>
          <w:tcPr>
            <w:tcW w:w="4620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论人民法院司法公开体系的构建—以河南法院司法公开实践为例                      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王韶华</w:t>
            </w:r>
          </w:p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王少禹</w:t>
            </w:r>
          </w:p>
        </w:tc>
        <w:tc>
          <w:tcPr>
            <w:tcW w:w="4137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河南省高级人民法院</w:t>
            </w:r>
          </w:p>
        </w:tc>
      </w:tr>
      <w:tr w:rsidR="00BB5650" w:rsidRPr="00A83D59" w:rsidTr="00022F53">
        <w:trPr>
          <w:trHeight w:hRule="exact" w:val="992"/>
          <w:jc w:val="center"/>
        </w:trPr>
        <w:tc>
          <w:tcPr>
            <w:tcW w:w="4620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法院职权分层结构下的审级功能定位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顾译文</w:t>
            </w:r>
          </w:p>
        </w:tc>
        <w:tc>
          <w:tcPr>
            <w:tcW w:w="4137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湖北省浠水县人民法院</w:t>
            </w:r>
          </w:p>
        </w:tc>
      </w:tr>
      <w:tr w:rsidR="00BB5650" w:rsidRPr="00A83D59" w:rsidTr="00022F53">
        <w:trPr>
          <w:trHeight w:hRule="exact" w:val="1698"/>
          <w:jc w:val="center"/>
        </w:trPr>
        <w:tc>
          <w:tcPr>
            <w:tcW w:w="4620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致我们奋力推进的中国法律共同体：当互信遇到死磕—以对C市调查为参考探寻信任型审辩关系之路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车志平</w:t>
            </w:r>
          </w:p>
        </w:tc>
        <w:tc>
          <w:tcPr>
            <w:tcW w:w="4137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湖北省宜昌市中级人民法院</w:t>
            </w:r>
          </w:p>
        </w:tc>
      </w:tr>
      <w:tr w:rsidR="00BB5650" w:rsidRPr="00A83D59" w:rsidTr="00022F53">
        <w:trPr>
          <w:trHeight w:hRule="exact" w:val="562"/>
          <w:jc w:val="center"/>
        </w:trPr>
        <w:tc>
          <w:tcPr>
            <w:tcW w:w="4620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刑事被害人救助制度构想</w:t>
            </w:r>
          </w:p>
        </w:tc>
        <w:tc>
          <w:tcPr>
            <w:tcW w:w="1417" w:type="dxa"/>
            <w:vAlign w:val="center"/>
          </w:tcPr>
          <w:p w:rsidR="00BB5650" w:rsidRPr="004B098B" w:rsidRDefault="00BB5650" w:rsidP="00022F53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尹贺兴</w:t>
            </w:r>
          </w:p>
        </w:tc>
        <w:tc>
          <w:tcPr>
            <w:tcW w:w="4137" w:type="dxa"/>
            <w:vAlign w:val="center"/>
          </w:tcPr>
          <w:p w:rsidR="00BB5650" w:rsidRPr="004B098B" w:rsidRDefault="00BB5650" w:rsidP="00022F53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4B098B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山西省灵石县人民检察院</w:t>
            </w:r>
          </w:p>
        </w:tc>
      </w:tr>
    </w:tbl>
    <w:p w:rsidR="00BB5650" w:rsidRPr="00651932" w:rsidRDefault="00BB5650" w:rsidP="00BB5650">
      <w:pPr>
        <w:rPr>
          <w:b/>
          <w:sz w:val="44"/>
          <w:szCs w:val="44"/>
        </w:rPr>
      </w:pPr>
    </w:p>
    <w:p w:rsidR="00BB5650" w:rsidRPr="00970D91" w:rsidRDefault="00BB5650" w:rsidP="00BB5650"/>
    <w:p w:rsidR="00BB5650" w:rsidRPr="00BB5650" w:rsidRDefault="00BB5650" w:rsidP="00ED1048">
      <w:pPr>
        <w:jc w:val="center"/>
        <w:rPr>
          <w:b/>
          <w:sz w:val="44"/>
          <w:szCs w:val="44"/>
        </w:rPr>
      </w:pPr>
    </w:p>
    <w:sectPr w:rsidR="00BB5650" w:rsidRPr="00BB5650" w:rsidSect="00D6377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25" w:rsidRDefault="008A0525" w:rsidP="00990915">
      <w:r>
        <w:separator/>
      </w:r>
    </w:p>
  </w:endnote>
  <w:endnote w:type="continuationSeparator" w:id="0">
    <w:p w:rsidR="008A0525" w:rsidRDefault="008A0525" w:rsidP="0099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861"/>
      <w:docPartObj>
        <w:docPartGallery w:val="Page Numbers (Bottom of Page)"/>
        <w:docPartUnique/>
      </w:docPartObj>
    </w:sdtPr>
    <w:sdtEndPr/>
    <w:sdtContent>
      <w:p w:rsidR="00291F11" w:rsidRDefault="008A0525" w:rsidP="00291F1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9CE" w:rsidRPr="006149C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291F11" w:rsidRDefault="00291F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25" w:rsidRDefault="008A0525" w:rsidP="00990915">
      <w:r>
        <w:separator/>
      </w:r>
    </w:p>
  </w:footnote>
  <w:footnote w:type="continuationSeparator" w:id="0">
    <w:p w:rsidR="008A0525" w:rsidRDefault="008A0525" w:rsidP="00990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34"/>
    <w:rsid w:val="000370C6"/>
    <w:rsid w:val="00071934"/>
    <w:rsid w:val="000979AE"/>
    <w:rsid w:val="00147455"/>
    <w:rsid w:val="001C548B"/>
    <w:rsid w:val="00230B68"/>
    <w:rsid w:val="00237961"/>
    <w:rsid w:val="00291F11"/>
    <w:rsid w:val="002C6EA3"/>
    <w:rsid w:val="00365F3B"/>
    <w:rsid w:val="003A6A1C"/>
    <w:rsid w:val="003F10F7"/>
    <w:rsid w:val="00456058"/>
    <w:rsid w:val="004A0113"/>
    <w:rsid w:val="00502DB1"/>
    <w:rsid w:val="00551A56"/>
    <w:rsid w:val="00555B5D"/>
    <w:rsid w:val="00562C42"/>
    <w:rsid w:val="00565AF6"/>
    <w:rsid w:val="006149CE"/>
    <w:rsid w:val="00655D95"/>
    <w:rsid w:val="0072513F"/>
    <w:rsid w:val="007850AB"/>
    <w:rsid w:val="007A0B10"/>
    <w:rsid w:val="00837EA6"/>
    <w:rsid w:val="008839D6"/>
    <w:rsid w:val="008A0525"/>
    <w:rsid w:val="008A6F47"/>
    <w:rsid w:val="00926B4C"/>
    <w:rsid w:val="00990915"/>
    <w:rsid w:val="00A42284"/>
    <w:rsid w:val="00A66226"/>
    <w:rsid w:val="00AB5B50"/>
    <w:rsid w:val="00AC6D37"/>
    <w:rsid w:val="00B61517"/>
    <w:rsid w:val="00BA171D"/>
    <w:rsid w:val="00BB5650"/>
    <w:rsid w:val="00BF6B82"/>
    <w:rsid w:val="00C21A7C"/>
    <w:rsid w:val="00C47036"/>
    <w:rsid w:val="00C8056C"/>
    <w:rsid w:val="00C81F7F"/>
    <w:rsid w:val="00CD6345"/>
    <w:rsid w:val="00D12031"/>
    <w:rsid w:val="00D90579"/>
    <w:rsid w:val="00E11FA9"/>
    <w:rsid w:val="00EC6633"/>
    <w:rsid w:val="00ED1048"/>
    <w:rsid w:val="00F61DF2"/>
    <w:rsid w:val="00F71ACA"/>
    <w:rsid w:val="00FD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71934"/>
    <w:rPr>
      <w:i w:val="0"/>
      <w:iCs w:val="0"/>
      <w:color w:val="CC0000"/>
    </w:rPr>
  </w:style>
  <w:style w:type="paragraph" w:styleId="a4">
    <w:name w:val="header"/>
    <w:basedOn w:val="a"/>
    <w:link w:val="Char"/>
    <w:uiPriority w:val="99"/>
    <w:semiHidden/>
    <w:unhideWhenUsed/>
    <w:rsid w:val="00990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9091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0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0915"/>
    <w:rPr>
      <w:sz w:val="18"/>
      <w:szCs w:val="18"/>
    </w:rPr>
  </w:style>
  <w:style w:type="table" w:styleId="a6">
    <w:name w:val="Table Grid"/>
    <w:basedOn w:val="a1"/>
    <w:uiPriority w:val="59"/>
    <w:rsid w:val="000370C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Char1"/>
    <w:uiPriority w:val="99"/>
    <w:unhideWhenUsed/>
    <w:rsid w:val="00ED1048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脚注文本 Char"/>
    <w:basedOn w:val="a0"/>
    <w:link w:val="a7"/>
    <w:uiPriority w:val="99"/>
    <w:rsid w:val="00ED104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71934"/>
    <w:rPr>
      <w:i w:val="0"/>
      <w:iCs w:val="0"/>
      <w:color w:val="CC0000"/>
    </w:rPr>
  </w:style>
  <w:style w:type="paragraph" w:styleId="a4">
    <w:name w:val="header"/>
    <w:basedOn w:val="a"/>
    <w:link w:val="Char"/>
    <w:uiPriority w:val="99"/>
    <w:semiHidden/>
    <w:unhideWhenUsed/>
    <w:rsid w:val="00990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9091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0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0915"/>
    <w:rPr>
      <w:sz w:val="18"/>
      <w:szCs w:val="18"/>
    </w:rPr>
  </w:style>
  <w:style w:type="table" w:styleId="a6">
    <w:name w:val="Table Grid"/>
    <w:basedOn w:val="a1"/>
    <w:uiPriority w:val="59"/>
    <w:rsid w:val="000370C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Char1"/>
    <w:uiPriority w:val="99"/>
    <w:unhideWhenUsed/>
    <w:rsid w:val="00ED1048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脚注文本 Char"/>
    <w:basedOn w:val="a0"/>
    <w:link w:val="a7"/>
    <w:uiPriority w:val="99"/>
    <w:rsid w:val="00ED10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B12DC-2859-4D52-9C0F-10D0095E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430</Words>
  <Characters>2455</Characters>
  <Application>Microsoft Office Word</Application>
  <DocSecurity>0</DocSecurity>
  <Lines>20</Lines>
  <Paragraphs>5</Paragraphs>
  <ScaleCrop>false</ScaleCrop>
  <Company>Lenovo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2105-245</cp:lastModifiedBy>
  <cp:revision>2</cp:revision>
  <cp:lastPrinted>2014-11-14T05:53:00Z</cp:lastPrinted>
  <dcterms:created xsi:type="dcterms:W3CDTF">2014-11-14T06:35:00Z</dcterms:created>
  <dcterms:modified xsi:type="dcterms:W3CDTF">2014-11-14T06:35:00Z</dcterms:modified>
</cp:coreProperties>
</file>